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3902" w14:textId="509B6146" w:rsidR="0044159D" w:rsidRPr="00484712" w:rsidRDefault="0044159D" w:rsidP="0044159D">
      <w:pPr>
        <w:pStyle w:val="Heading2"/>
        <w:numPr>
          <w:ilvl w:val="0"/>
          <w:numId w:val="0"/>
        </w:numPr>
        <w:spacing w:line="269" w:lineRule="auto"/>
        <w:ind w:left="576" w:hanging="576"/>
        <w:rPr>
          <w:rFonts w:ascii="Calibri" w:eastAsia="Times New Roman" w:hAnsi="Calibri" w:cs="Calibri"/>
        </w:rPr>
      </w:pPr>
      <w:r w:rsidRPr="00C47876">
        <w:rPr>
          <w:rStyle w:val="Heading5Char"/>
          <w:lang w:bidi="ru-RU"/>
        </w:rPr>
        <w:t xml:space="preserve">ИНДЕКС РАЗВИТИЯ ДЕТЕЙ </w:t>
      </w:r>
      <w:r w:rsidR="00484712">
        <w:rPr>
          <w:rStyle w:val="Heading5Char"/>
          <w:lang w:bidi="ru-RU"/>
        </w:rPr>
        <w:t xml:space="preserve">В РАННЕМ </w:t>
      </w:r>
      <w:r w:rsidRPr="00C47876">
        <w:rPr>
          <w:rStyle w:val="Heading5Char"/>
          <w:lang w:bidi="ru-RU"/>
        </w:rPr>
        <w:t>ВОЗРАСТ</w:t>
      </w:r>
      <w:r w:rsidR="00484712">
        <w:rPr>
          <w:rStyle w:val="Heading5Char"/>
          <w:lang w:bidi="ru-RU"/>
        </w:rPr>
        <w:t>Е</w:t>
      </w:r>
      <w:r w:rsidRPr="00C47876">
        <w:rPr>
          <w:rStyle w:val="Heading5Char"/>
          <w:lang w:bidi="ru-RU"/>
        </w:rPr>
        <w:t xml:space="preserve"> </w:t>
      </w:r>
      <w:r w:rsidR="001502E6" w:rsidRPr="001502E6">
        <w:rPr>
          <w:rStyle w:val="Heading5Char"/>
          <w:lang w:bidi="ru-RU"/>
        </w:rPr>
        <w:t>2030</w:t>
      </w:r>
      <w:r w:rsidRPr="00C47876">
        <w:rPr>
          <w:rStyle w:val="Heading5Char"/>
          <w:lang w:bidi="ru-RU"/>
        </w:rPr>
        <w:t xml:space="preserve"> (ECDI2030)</w:t>
      </w:r>
    </w:p>
    <w:p w14:paraId="6F6ADF29" w14:textId="68EEBCC5" w:rsidR="0044159D" w:rsidRPr="00484712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ru-RU"/>
        </w:rPr>
        <w:t>Развитие детей в раннем возрасте — это многомерный процесс, включающий упорядоченное развитие моторных, когнитивных, языковых, социально-эмоциональных и регуляторных навыков и способностей в течение первых нескольких лет жизни</w:t>
      </w:r>
      <w:r>
        <w:rPr>
          <w:rStyle w:val="FootnoteReference"/>
          <w:sz w:val="20"/>
          <w:lang w:bidi="ru-RU"/>
        </w:rPr>
        <w:footnoteReference w:id="2"/>
      </w:r>
      <w:r w:rsidRPr="00C47876">
        <w:rPr>
          <w:sz w:val="20"/>
          <w:lang w:bidi="ru-RU"/>
        </w:rPr>
        <w:t xml:space="preserve">. Хотя эти области раннего развития детей различаются, они взаимосвязаны. Ключом к обеспечению наилучших шансов полного раскрытия потенциала ребенка является целостное воспитание и поддержка всех этих аспектов. Физический рост, </w:t>
      </w:r>
      <w:r w:rsidR="00DB342A">
        <w:rPr>
          <w:sz w:val="20"/>
          <w:lang w:bidi="ru-RU"/>
        </w:rPr>
        <w:t>грамотность,</w:t>
      </w:r>
      <w:r w:rsidRPr="00C47876">
        <w:rPr>
          <w:sz w:val="20"/>
          <w:lang w:bidi="ru-RU"/>
        </w:rPr>
        <w:t xml:space="preserve"> </w:t>
      </w:r>
      <w:r w:rsidR="00DB342A">
        <w:rPr>
          <w:sz w:val="20"/>
          <w:lang w:bidi="ru-RU"/>
        </w:rPr>
        <w:t>умение</w:t>
      </w:r>
      <w:r w:rsidRPr="00C47876">
        <w:rPr>
          <w:sz w:val="20"/>
          <w:lang w:bidi="ru-RU"/>
        </w:rPr>
        <w:t xml:space="preserve"> сч</w:t>
      </w:r>
      <w:r w:rsidR="00DB342A">
        <w:rPr>
          <w:sz w:val="20"/>
          <w:lang w:bidi="ru-RU"/>
        </w:rPr>
        <w:t>итать</w:t>
      </w:r>
      <w:r w:rsidRPr="00C47876">
        <w:rPr>
          <w:sz w:val="20"/>
          <w:lang w:bidi="ru-RU"/>
        </w:rPr>
        <w:t xml:space="preserve">, </w:t>
      </w:r>
      <w:r w:rsidR="00DB342A">
        <w:rPr>
          <w:sz w:val="20"/>
          <w:lang w:bidi="ru-RU"/>
        </w:rPr>
        <w:t>социальные и эмоциональные навыки</w:t>
      </w:r>
      <w:r w:rsidRPr="00C47876">
        <w:rPr>
          <w:sz w:val="20"/>
          <w:lang w:bidi="ru-RU"/>
        </w:rPr>
        <w:t xml:space="preserve"> и готовность к обучению определяют дальнейшую траекторию здоровья, обучения и благополучия на протяжении всей жизни</w:t>
      </w:r>
      <w:r>
        <w:rPr>
          <w:rStyle w:val="FootnoteReference"/>
          <w:sz w:val="20"/>
          <w:lang w:bidi="ru-RU"/>
        </w:rPr>
        <w:footnoteReference w:id="3"/>
      </w:r>
      <w:r w:rsidRPr="00C47876">
        <w:rPr>
          <w:sz w:val="20"/>
          <w:lang w:bidi="ru-RU"/>
        </w:rPr>
        <w:t>.</w:t>
      </w:r>
    </w:p>
    <w:p w14:paraId="72001523" w14:textId="29CCC7E1" w:rsidR="0044159D" w:rsidRPr="00484712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ru-RU"/>
        </w:rPr>
        <w:t xml:space="preserve">Модуль «Индекс развития детей </w:t>
      </w:r>
      <w:r w:rsidR="00484712">
        <w:rPr>
          <w:sz w:val="20"/>
          <w:lang w:bidi="ru-RU"/>
        </w:rPr>
        <w:t xml:space="preserve">в </w:t>
      </w:r>
      <w:r w:rsidRPr="00C47876">
        <w:rPr>
          <w:sz w:val="20"/>
          <w:lang w:bidi="ru-RU"/>
        </w:rPr>
        <w:t>ранне</w:t>
      </w:r>
      <w:r w:rsidR="00484712">
        <w:rPr>
          <w:sz w:val="20"/>
          <w:lang w:bidi="ru-RU"/>
        </w:rPr>
        <w:t>м</w:t>
      </w:r>
      <w:r w:rsidRPr="00C47876">
        <w:rPr>
          <w:sz w:val="20"/>
          <w:lang w:bidi="ru-RU"/>
        </w:rPr>
        <w:t xml:space="preserve"> возраст</w:t>
      </w:r>
      <w:r w:rsidR="00484712">
        <w:rPr>
          <w:sz w:val="20"/>
          <w:lang w:bidi="ru-RU"/>
        </w:rPr>
        <w:t>е</w:t>
      </w:r>
      <w:r w:rsidR="001502E6" w:rsidRPr="001502E6">
        <w:rPr>
          <w:sz w:val="20"/>
          <w:lang w:bidi="ru-RU"/>
        </w:rPr>
        <w:t xml:space="preserve"> 2030</w:t>
      </w:r>
      <w:r w:rsidRPr="00C47876">
        <w:rPr>
          <w:sz w:val="20"/>
          <w:lang w:bidi="ru-RU"/>
        </w:rPr>
        <w:t xml:space="preserve">» (ECDI2030) фиксирует достижение </w:t>
      </w:r>
      <w:r w:rsidRPr="007626D5">
        <w:rPr>
          <w:sz w:val="20"/>
          <w:lang w:bidi="ru-RU"/>
        </w:rPr>
        <w:t xml:space="preserve">основных </w:t>
      </w:r>
      <w:r w:rsidR="00185B91">
        <w:rPr>
          <w:sz w:val="20"/>
          <w:lang w:bidi="ru-RU"/>
        </w:rPr>
        <w:t>этапов</w:t>
      </w:r>
      <w:r w:rsidRPr="007626D5">
        <w:rPr>
          <w:sz w:val="20"/>
          <w:lang w:bidi="ru-RU"/>
        </w:rPr>
        <w:t xml:space="preserve"> развития</w:t>
      </w:r>
      <w:r w:rsidRPr="00C47876">
        <w:rPr>
          <w:sz w:val="20"/>
          <w:lang w:bidi="ru-RU"/>
        </w:rPr>
        <w:t xml:space="preserve"> детей в возрасте от 24 до 59 месяцев. Данные, полученные с помощью </w:t>
      </w:r>
      <w:r w:rsidR="00185B91">
        <w:rPr>
          <w:sz w:val="20"/>
          <w:lang w:bidi="ru-RU"/>
        </w:rPr>
        <w:t>модуля</w:t>
      </w:r>
      <w:r w:rsidRPr="00C47876">
        <w:rPr>
          <w:sz w:val="20"/>
          <w:lang w:bidi="ru-RU"/>
        </w:rPr>
        <w:t xml:space="preserve"> ECDI2030, можно использовать для мониторинга и отчетности по показателю ЦУР 4.2.1, а также для информирования об усилиях правительства по улучшению </w:t>
      </w:r>
      <w:r w:rsidRPr="0031698B">
        <w:rPr>
          <w:sz w:val="20"/>
          <w:lang w:bidi="ru-RU"/>
        </w:rPr>
        <w:t>результатов развития детей</w:t>
      </w:r>
      <w:r w:rsidRPr="00C47876">
        <w:rPr>
          <w:sz w:val="20"/>
          <w:lang w:bidi="ru-RU"/>
        </w:rPr>
        <w:t xml:space="preserve">. </w:t>
      </w:r>
    </w:p>
    <w:p w14:paraId="0837D9A0" w14:textId="0549CD83" w:rsidR="0044159D" w:rsidRPr="00C47876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ru-RU"/>
        </w:rPr>
        <w:t xml:space="preserve">Этот показатель включает 20 вопросов о том, как дети ведут себя в определенных повседневных ситуациях, а также о приобретенных ими навыках и знаниях. Вопросы отражают возрастающую сложность навыков, которые дети приобретают по мере роста. Эти 20 вопросов сгруппированы по трем доменам: здоровье, обучение и психосоциальное благополучие. Считается, что ребенок </w:t>
      </w:r>
      <w:r w:rsidR="00185B91">
        <w:rPr>
          <w:sz w:val="20"/>
          <w:lang w:bidi="ru-RU"/>
        </w:rPr>
        <w:t>развивается в пределах нормы</w:t>
      </w:r>
      <w:r w:rsidRPr="00C47876">
        <w:rPr>
          <w:sz w:val="20"/>
          <w:lang w:bidi="ru-RU"/>
        </w:rPr>
        <w:t xml:space="preserve">, если он достиг </w:t>
      </w:r>
      <w:r w:rsidRPr="002C323A">
        <w:rPr>
          <w:sz w:val="20"/>
          <w:lang w:bidi="ru-RU"/>
        </w:rPr>
        <w:t xml:space="preserve">минимального </w:t>
      </w:r>
      <w:r w:rsidRPr="00BA71D5">
        <w:rPr>
          <w:sz w:val="20"/>
          <w:lang w:bidi="ru-RU"/>
        </w:rPr>
        <w:t xml:space="preserve">количества </w:t>
      </w:r>
      <w:bookmarkStart w:id="0" w:name="_Hlk96254928"/>
      <w:r w:rsidRPr="00BA71D5">
        <w:rPr>
          <w:sz w:val="20"/>
          <w:lang w:bidi="ru-RU"/>
        </w:rPr>
        <w:t>этапов</w:t>
      </w:r>
      <w:bookmarkEnd w:id="0"/>
      <w:r w:rsidRPr="00BA71D5">
        <w:rPr>
          <w:sz w:val="20"/>
          <w:lang w:bidi="ru-RU"/>
        </w:rPr>
        <w:t>, ожидаемых</w:t>
      </w:r>
      <w:r w:rsidRPr="00C47876">
        <w:rPr>
          <w:sz w:val="20"/>
          <w:lang w:bidi="ru-RU"/>
        </w:rPr>
        <w:t xml:space="preserve"> для его возрастной группы. Каждый из трех общих доменов состоит из набора основных поддоменов:</w:t>
      </w:r>
    </w:p>
    <w:p w14:paraId="61A496FB" w14:textId="77777777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ru-RU"/>
        </w:rPr>
        <w:t>Поддомены здоровья: развитие крупной моторики, развитие мелкой моторики и уход за собой.</w:t>
      </w:r>
    </w:p>
    <w:p w14:paraId="0240FC72" w14:textId="1914E1AF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ru-RU"/>
        </w:rPr>
        <w:t>Поддом</w:t>
      </w:r>
      <w:r w:rsidR="00DB342A">
        <w:rPr>
          <w:sz w:val="20"/>
          <w:lang w:bidi="ru-RU"/>
        </w:rPr>
        <w:t>ены обучения: выразительная речь</w:t>
      </w:r>
      <w:r>
        <w:rPr>
          <w:sz w:val="20"/>
          <w:lang w:bidi="ru-RU"/>
        </w:rPr>
        <w:t xml:space="preserve">, грамотность, </w:t>
      </w:r>
      <w:r w:rsidR="00DB342A">
        <w:rPr>
          <w:sz w:val="20"/>
          <w:lang w:bidi="ru-RU"/>
        </w:rPr>
        <w:t>умение считать</w:t>
      </w:r>
      <w:r>
        <w:rPr>
          <w:sz w:val="20"/>
          <w:lang w:bidi="ru-RU"/>
        </w:rPr>
        <w:t xml:space="preserve">, </w:t>
      </w:r>
      <w:r w:rsidR="00DB342A">
        <w:rPr>
          <w:sz w:val="20"/>
          <w:lang w:bidi="ru-RU"/>
        </w:rPr>
        <w:t>начальные навыки письма</w:t>
      </w:r>
      <w:r>
        <w:rPr>
          <w:sz w:val="20"/>
          <w:lang w:bidi="ru-RU"/>
        </w:rPr>
        <w:t xml:space="preserve"> и </w:t>
      </w:r>
      <w:r w:rsidR="00DB342A">
        <w:rPr>
          <w:sz w:val="20"/>
          <w:lang w:bidi="ru-RU"/>
        </w:rPr>
        <w:t>исполнительное функционирование</w:t>
      </w:r>
      <w:r>
        <w:rPr>
          <w:sz w:val="20"/>
          <w:lang w:bidi="ru-RU"/>
        </w:rPr>
        <w:t>.</w:t>
      </w:r>
    </w:p>
    <w:p w14:paraId="12214C0D" w14:textId="3E3254BC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ru-RU"/>
        </w:rPr>
        <w:t xml:space="preserve">Поддомены психосоциального благополучия: эмоциональные навыки, социальные навыки, </w:t>
      </w:r>
      <w:r w:rsidR="00DB342A">
        <w:rPr>
          <w:sz w:val="20"/>
          <w:lang w:bidi="ru-RU"/>
        </w:rPr>
        <w:t>интернационализация поведения</w:t>
      </w:r>
      <w:r>
        <w:rPr>
          <w:sz w:val="20"/>
          <w:lang w:bidi="ru-RU"/>
        </w:rPr>
        <w:t xml:space="preserve"> и </w:t>
      </w:r>
      <w:r w:rsidR="00DB342A">
        <w:rPr>
          <w:sz w:val="20"/>
          <w:lang w:bidi="ru-RU"/>
        </w:rPr>
        <w:t>экстернализация</w:t>
      </w:r>
      <w:r>
        <w:rPr>
          <w:sz w:val="20"/>
          <w:lang w:bidi="ru-RU"/>
        </w:rPr>
        <w:t xml:space="preserve"> поведени</w:t>
      </w:r>
      <w:r w:rsidR="00DB342A">
        <w:rPr>
          <w:sz w:val="20"/>
          <w:lang w:bidi="ru-RU"/>
        </w:rPr>
        <w:t>я</w:t>
      </w:r>
      <w:r>
        <w:rPr>
          <w:sz w:val="20"/>
          <w:lang w:bidi="ru-RU"/>
        </w:rPr>
        <w:t>.</w:t>
      </w:r>
    </w:p>
    <w:p w14:paraId="226F4FC4" w14:textId="77777777" w:rsidR="0044159D" w:rsidRPr="00484712" w:rsidRDefault="0044159D" w:rsidP="0044159D">
      <w:pPr>
        <w:spacing w:after="0" w:line="240" w:lineRule="auto"/>
        <w:ind w:left="540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ru-RU"/>
        </w:rPr>
        <w:t> </w:t>
      </w:r>
    </w:p>
    <w:p w14:paraId="2353CFCC" w14:textId="77777777" w:rsidR="0044159D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ru-RU"/>
        </w:rPr>
        <w:t xml:space="preserve">Модуль ECDI2030 не предназначен для составления отдельных отчетов по каждому домену. Скорее, он предназначен для получения </w:t>
      </w:r>
      <w:bookmarkStart w:id="1" w:name="_Hlk96255900"/>
      <w:r w:rsidRPr="00C47876">
        <w:rPr>
          <w:sz w:val="20"/>
          <w:lang w:bidi="ru-RU"/>
        </w:rPr>
        <w:t>единой сводной оценки</w:t>
      </w:r>
      <w:bookmarkEnd w:id="1"/>
      <w:r w:rsidRPr="00C47876">
        <w:rPr>
          <w:sz w:val="20"/>
          <w:lang w:bidi="ru-RU"/>
        </w:rPr>
        <w:t>, которая отражает взаимосвязанные концепции развития, лежащие в основе трех доменов, упомянутых в ЦУР 4.2.1</w:t>
      </w:r>
      <w:r>
        <w:rPr>
          <w:rStyle w:val="FootnoteReference"/>
          <w:sz w:val="20"/>
          <w:lang w:bidi="ru-RU"/>
        </w:rPr>
        <w:footnoteReference w:id="4"/>
      </w:r>
      <w:r w:rsidRPr="00C47876">
        <w:rPr>
          <w:sz w:val="20"/>
          <w:lang w:bidi="ru-RU"/>
        </w:rPr>
        <w:t xml:space="preserve">. </w:t>
      </w:r>
    </w:p>
    <w:p w14:paraId="6157846C" w14:textId="2BE98019" w:rsidR="0044159D" w:rsidRPr="00C47876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sz w:val="20"/>
          <w:lang w:bidi="ru-RU"/>
        </w:rPr>
        <w:t xml:space="preserve">Показатель, получаемый из </w:t>
      </w:r>
      <w:r w:rsidR="00185B91">
        <w:rPr>
          <w:sz w:val="20"/>
          <w:lang w:bidi="ru-RU"/>
        </w:rPr>
        <w:t>модуля</w:t>
      </w:r>
      <w:r>
        <w:rPr>
          <w:sz w:val="20"/>
          <w:lang w:bidi="ru-RU"/>
        </w:rPr>
        <w:t xml:space="preserve"> ECDI2030, представляет собой процент детей в возрасте от 24 до 59 месяцев, которые достигли </w:t>
      </w:r>
      <w:bookmarkStart w:id="2" w:name="_Hlk96256029"/>
      <w:r>
        <w:rPr>
          <w:sz w:val="20"/>
          <w:lang w:bidi="ru-RU"/>
        </w:rPr>
        <w:t xml:space="preserve">минимального количества </w:t>
      </w:r>
      <w:bookmarkEnd w:id="2"/>
      <w:r w:rsidR="00185B91">
        <w:rPr>
          <w:sz w:val="20"/>
          <w:lang w:bidi="ru-RU"/>
        </w:rPr>
        <w:t>этапов</w:t>
      </w:r>
      <w:r>
        <w:rPr>
          <w:sz w:val="20"/>
          <w:lang w:bidi="ru-RU"/>
        </w:rPr>
        <w:t>, ожидаемых для их возрастной группы</w:t>
      </w:r>
      <w:r>
        <w:rPr>
          <w:rStyle w:val="FootnoteReference"/>
          <w:sz w:val="20"/>
          <w:lang w:bidi="ru-RU"/>
        </w:rPr>
        <w:footnoteReference w:id="5"/>
      </w:r>
      <w:r>
        <w:rPr>
          <w:sz w:val="20"/>
          <w:lang w:bidi="ru-RU"/>
        </w:rPr>
        <w:t xml:space="preserve">. </w:t>
      </w:r>
    </w:p>
    <w:p w14:paraId="75800FBA" w14:textId="593405F0" w:rsidR="0044159D" w:rsidRPr="00484712" w:rsidRDefault="0044159D" w:rsidP="0044159D">
      <w:pPr>
        <w:spacing w:before="100" w:after="20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</w:p>
    <w:p w14:paraId="488C7B34" w14:textId="77777777" w:rsidR="000009A0" w:rsidRDefault="000009A0"/>
    <w:sectPr w:rsidR="00000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799A" w14:textId="77777777" w:rsidR="00477F11" w:rsidRDefault="00477F11" w:rsidP="0044159D">
      <w:pPr>
        <w:spacing w:after="0" w:line="240" w:lineRule="auto"/>
      </w:pPr>
      <w:r>
        <w:separator/>
      </w:r>
    </w:p>
  </w:endnote>
  <w:endnote w:type="continuationSeparator" w:id="0">
    <w:p w14:paraId="580493B1" w14:textId="77777777" w:rsidR="00477F11" w:rsidRDefault="00477F11" w:rsidP="0044159D">
      <w:pPr>
        <w:spacing w:after="0" w:line="240" w:lineRule="auto"/>
      </w:pPr>
      <w:r>
        <w:continuationSeparator/>
      </w:r>
    </w:p>
  </w:endnote>
  <w:endnote w:type="continuationNotice" w:id="1">
    <w:p w14:paraId="7A739999" w14:textId="77777777" w:rsidR="00477F11" w:rsidRDefault="00477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389E" w14:textId="77777777" w:rsidR="00516CD9" w:rsidRDefault="00516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1313" w14:textId="77777777" w:rsidR="00477F11" w:rsidRDefault="00477F11" w:rsidP="0044159D">
      <w:pPr>
        <w:spacing w:after="0" w:line="240" w:lineRule="auto"/>
      </w:pPr>
      <w:r>
        <w:separator/>
      </w:r>
    </w:p>
  </w:footnote>
  <w:footnote w:type="continuationSeparator" w:id="0">
    <w:p w14:paraId="251CA8F0" w14:textId="77777777" w:rsidR="00477F11" w:rsidRDefault="00477F11" w:rsidP="0044159D">
      <w:pPr>
        <w:spacing w:after="0" w:line="240" w:lineRule="auto"/>
      </w:pPr>
      <w:r>
        <w:continuationSeparator/>
      </w:r>
    </w:p>
  </w:footnote>
  <w:footnote w:type="continuationNotice" w:id="1">
    <w:p w14:paraId="5C2CEC2C" w14:textId="77777777" w:rsidR="00477F11" w:rsidRDefault="00477F11">
      <w:pPr>
        <w:spacing w:after="0" w:line="240" w:lineRule="auto"/>
      </w:pPr>
    </w:p>
  </w:footnote>
  <w:footnote w:id="2">
    <w:p w14:paraId="07D346A5" w14:textId="634EECBE" w:rsidR="0044159D" w:rsidRPr="0044159D" w:rsidRDefault="0044159D" w:rsidP="0044159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44159D">
        <w:rPr>
          <w:rStyle w:val="FootnoteReference"/>
          <w:sz w:val="18"/>
          <w:lang w:bidi="ru-RU"/>
        </w:rPr>
        <w:footnoteRef/>
      </w:r>
      <w:r w:rsidRPr="0044159D">
        <w:rPr>
          <w:sz w:val="18"/>
          <w:lang w:bidi="ru-RU"/>
        </w:rPr>
        <w:t xml:space="preserve"> UNICEF et al. </w:t>
      </w:r>
      <w:r w:rsidRPr="0044159D">
        <w:rPr>
          <w:i/>
          <w:sz w:val="18"/>
          <w:lang w:bidi="ru-RU"/>
        </w:rPr>
        <w:t>Продвижение развития детей раннего возраста:</w:t>
      </w:r>
      <w:r w:rsidR="008D0E5E" w:rsidRPr="008D0E5E">
        <w:rPr>
          <w:i/>
          <w:sz w:val="18"/>
          <w:lang w:bidi="ru-RU"/>
        </w:rPr>
        <w:t xml:space="preserve"> </w:t>
      </w:r>
      <w:r w:rsidRPr="0044159D">
        <w:rPr>
          <w:i/>
          <w:sz w:val="18"/>
          <w:lang w:bidi="ru-RU"/>
        </w:rPr>
        <w:t xml:space="preserve">От науки к масштабированию. </w:t>
      </w:r>
      <w:r w:rsidRPr="0044159D">
        <w:rPr>
          <w:sz w:val="18"/>
          <w:lang w:bidi="ru-RU"/>
        </w:rPr>
        <w:t xml:space="preserve">Краткий обзор, The Lancet, 2016 г. </w:t>
      </w:r>
      <w:hyperlink r:id="rId1" w:history="1">
        <w:r w:rsidRPr="0044159D">
          <w:rPr>
            <w:color w:val="0000FF"/>
            <w:sz w:val="18"/>
            <w:u w:val="single"/>
            <w:lang w:bidi="ru-RU"/>
          </w:rPr>
          <w:t>https://www.thelancet.com/pb-assets/Lancet/stories/series/ecd/Lancet_ECD_Executive_Summary.pdf.</w:t>
        </w:r>
      </w:hyperlink>
    </w:p>
  </w:footnote>
  <w:footnote w:id="3">
    <w:p w14:paraId="4F49E755" w14:textId="77777777" w:rsidR="0044159D" w:rsidRPr="0044159D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ru-RU"/>
        </w:rPr>
        <w:footnoteRef/>
      </w:r>
      <w:r w:rsidRPr="00484712">
        <w:rPr>
          <w:sz w:val="18"/>
          <w:lang w:val="en-US" w:bidi="ru-RU"/>
        </w:rPr>
        <w:t xml:space="preserve"> Shonkoff, J. and D. Phillips. </w:t>
      </w:r>
      <w:r w:rsidRPr="0044159D">
        <w:rPr>
          <w:i/>
          <w:sz w:val="18"/>
          <w:lang w:bidi="ru-RU"/>
        </w:rPr>
        <w:t>От нейронов до окружения: Наука о развитии детей в раннем возрасте.</w:t>
      </w:r>
      <w:r w:rsidRPr="0044159D">
        <w:rPr>
          <w:sz w:val="18"/>
          <w:lang w:bidi="ru-RU"/>
        </w:rPr>
        <w:t xml:space="preserve"> Washington, D.C.: National Academy Press, 2000 г.; Детский фонд Организации Объединенных Наций, </w:t>
      </w:r>
      <w:r w:rsidRPr="0044159D">
        <w:rPr>
          <w:i/>
          <w:sz w:val="18"/>
          <w:lang w:bidi="ru-RU"/>
        </w:rPr>
        <w:t>Раннее развитие имеет значение</w:t>
      </w:r>
      <w:r w:rsidRPr="0044159D">
        <w:rPr>
          <w:sz w:val="18"/>
          <w:lang w:bidi="ru-RU"/>
        </w:rPr>
        <w:t>, Нью-Йорк: UNICEF, 2017.</w:t>
      </w:r>
    </w:p>
  </w:footnote>
  <w:footnote w:id="4">
    <w:p w14:paraId="613C74FA" w14:textId="77777777" w:rsidR="0044159D" w:rsidRPr="0044159D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ru-RU"/>
        </w:rPr>
        <w:footnoteRef/>
      </w:r>
      <w:r w:rsidRPr="0044159D">
        <w:rPr>
          <w:sz w:val="18"/>
          <w:lang w:bidi="ru-RU"/>
        </w:rPr>
        <w:t xml:space="preserve"> Подробнее о разработке модуля ECDI2030 и связанного с ним показателя см. «ECDI2030 — часто задаваемые вопросы»: </w:t>
      </w:r>
      <w:hyperlink r:id="rId2" w:history="1">
        <w:r w:rsidRPr="0044159D">
          <w:rPr>
            <w:rStyle w:val="Hyperlink"/>
            <w:sz w:val="18"/>
            <w:lang w:bidi="ru-RU"/>
          </w:rPr>
          <w:t>https://data.unicef.org/resources/early-childhood-development-index-2030-ecdi2030/</w:t>
        </w:r>
      </w:hyperlink>
      <w:r w:rsidRPr="0044159D">
        <w:rPr>
          <w:sz w:val="18"/>
          <w:lang w:bidi="ru-RU"/>
        </w:rPr>
        <w:t xml:space="preserve"> </w:t>
      </w:r>
    </w:p>
  </w:footnote>
  <w:footnote w:id="5">
    <w:p w14:paraId="67609780" w14:textId="770A1316" w:rsidR="0044159D" w:rsidRPr="007B38F6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ru-RU"/>
        </w:rPr>
        <w:footnoteRef/>
      </w:r>
      <w:r w:rsidRPr="0044159D">
        <w:rPr>
          <w:sz w:val="18"/>
          <w:lang w:bidi="ru-RU"/>
        </w:rPr>
        <w:t xml:space="preserve"> Показатель, генерируемый </w:t>
      </w:r>
      <w:r w:rsidRPr="00330133">
        <w:rPr>
          <w:sz w:val="18"/>
          <w:lang w:bidi="ru-RU"/>
        </w:rPr>
        <w:t>модулем ECDI2030, не совсем совпадает с показателем модуля</w:t>
      </w:r>
      <w:r w:rsidRPr="0044159D">
        <w:rPr>
          <w:sz w:val="18"/>
          <w:lang w:bidi="ru-RU"/>
        </w:rPr>
        <w:t xml:space="preserve"> ECDI, представленного в мультииндикаторном кластерном исследовании в 2009 году. Для получения дополнительной информации см. «ECDI2030 — часто задаваемые вопросы».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04F6" w14:textId="77777777" w:rsidR="00516CD9" w:rsidRDefault="00516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46A1"/>
    <w:multiLevelType w:val="multilevel"/>
    <w:tmpl w:val="B4C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879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604DF8"/>
    <w:multiLevelType w:val="multilevel"/>
    <w:tmpl w:val="DCC61880"/>
    <w:lvl w:ilvl="0">
      <w:start w:val="7"/>
      <w:numFmt w:val="decimal"/>
      <w:lvlText w:val="%1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9D"/>
    <w:rsid w:val="000009A0"/>
    <w:rsid w:val="000062C6"/>
    <w:rsid w:val="00071606"/>
    <w:rsid w:val="000F1E2A"/>
    <w:rsid w:val="000F63B8"/>
    <w:rsid w:val="001502E6"/>
    <w:rsid w:val="00157F7A"/>
    <w:rsid w:val="00167203"/>
    <w:rsid w:val="00185B91"/>
    <w:rsid w:val="00221AFC"/>
    <w:rsid w:val="00221C26"/>
    <w:rsid w:val="002C323A"/>
    <w:rsid w:val="002E519E"/>
    <w:rsid w:val="002F3AA3"/>
    <w:rsid w:val="0031698B"/>
    <w:rsid w:val="00322059"/>
    <w:rsid w:val="00330133"/>
    <w:rsid w:val="003A04E8"/>
    <w:rsid w:val="003C051A"/>
    <w:rsid w:val="003E1D91"/>
    <w:rsid w:val="003F4FE1"/>
    <w:rsid w:val="00410396"/>
    <w:rsid w:val="00416CC0"/>
    <w:rsid w:val="0044077D"/>
    <w:rsid w:val="0044159D"/>
    <w:rsid w:val="0044712F"/>
    <w:rsid w:val="00451267"/>
    <w:rsid w:val="00453A13"/>
    <w:rsid w:val="00477F11"/>
    <w:rsid w:val="00484712"/>
    <w:rsid w:val="00492A49"/>
    <w:rsid w:val="00494111"/>
    <w:rsid w:val="004B3BCE"/>
    <w:rsid w:val="004E2118"/>
    <w:rsid w:val="004E720F"/>
    <w:rsid w:val="00514D42"/>
    <w:rsid w:val="00516CD9"/>
    <w:rsid w:val="00521512"/>
    <w:rsid w:val="005238A7"/>
    <w:rsid w:val="00560585"/>
    <w:rsid w:val="00570591"/>
    <w:rsid w:val="005C05C0"/>
    <w:rsid w:val="005D36A8"/>
    <w:rsid w:val="005D5215"/>
    <w:rsid w:val="00624918"/>
    <w:rsid w:val="007626D5"/>
    <w:rsid w:val="007E7926"/>
    <w:rsid w:val="00805E53"/>
    <w:rsid w:val="00846B63"/>
    <w:rsid w:val="008A7769"/>
    <w:rsid w:val="008C7877"/>
    <w:rsid w:val="008D0E5E"/>
    <w:rsid w:val="008D1A4D"/>
    <w:rsid w:val="008F60EC"/>
    <w:rsid w:val="009431A6"/>
    <w:rsid w:val="00961FF6"/>
    <w:rsid w:val="00964FC9"/>
    <w:rsid w:val="00971EA6"/>
    <w:rsid w:val="009843D4"/>
    <w:rsid w:val="009A5537"/>
    <w:rsid w:val="009C0C7E"/>
    <w:rsid w:val="009E0807"/>
    <w:rsid w:val="009E466F"/>
    <w:rsid w:val="00A02142"/>
    <w:rsid w:val="00A10048"/>
    <w:rsid w:val="00A21E93"/>
    <w:rsid w:val="00A529F7"/>
    <w:rsid w:val="00AA1A1B"/>
    <w:rsid w:val="00AC602F"/>
    <w:rsid w:val="00AE0EE3"/>
    <w:rsid w:val="00B00E08"/>
    <w:rsid w:val="00B079F3"/>
    <w:rsid w:val="00B16C79"/>
    <w:rsid w:val="00B2406E"/>
    <w:rsid w:val="00B25C29"/>
    <w:rsid w:val="00B36C9F"/>
    <w:rsid w:val="00B71C72"/>
    <w:rsid w:val="00BA71D5"/>
    <w:rsid w:val="00BF344A"/>
    <w:rsid w:val="00BF4F90"/>
    <w:rsid w:val="00C94CF2"/>
    <w:rsid w:val="00CC75DA"/>
    <w:rsid w:val="00CF53BA"/>
    <w:rsid w:val="00D200DF"/>
    <w:rsid w:val="00D56020"/>
    <w:rsid w:val="00D64EEB"/>
    <w:rsid w:val="00D90DD5"/>
    <w:rsid w:val="00D959E1"/>
    <w:rsid w:val="00DB342A"/>
    <w:rsid w:val="00E20E60"/>
    <w:rsid w:val="00E702EF"/>
    <w:rsid w:val="00E845BD"/>
    <w:rsid w:val="00EA7AE2"/>
    <w:rsid w:val="00EB4144"/>
    <w:rsid w:val="00F21AB6"/>
    <w:rsid w:val="00F62D18"/>
    <w:rsid w:val="00F64DB7"/>
    <w:rsid w:val="00F801BD"/>
    <w:rsid w:val="00F802E6"/>
    <w:rsid w:val="00F85CFF"/>
    <w:rsid w:val="00FD2C23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1031"/>
  <w15:chartTrackingRefBased/>
  <w15:docId w15:val="{7CCAFBEB-9A79-4CAA-9B8B-D51EAB8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9D"/>
  </w:style>
  <w:style w:type="paragraph" w:styleId="Heading1">
    <w:name w:val="heading 1"/>
    <w:basedOn w:val="Normal"/>
    <w:next w:val="Normal"/>
    <w:link w:val="Heading1Char"/>
    <w:uiPriority w:val="9"/>
    <w:qFormat/>
    <w:rsid w:val="0044159D"/>
    <w:pPr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59D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9D"/>
    <w:pPr>
      <w:numPr>
        <w:ilvl w:val="2"/>
        <w:numId w:val="2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59D"/>
    <w:pPr>
      <w:numPr>
        <w:ilvl w:val="3"/>
        <w:numId w:val="2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59D"/>
    <w:pPr>
      <w:numPr>
        <w:ilvl w:val="4"/>
        <w:numId w:val="2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9D"/>
    <w:pPr>
      <w:numPr>
        <w:ilvl w:val="5"/>
        <w:numId w:val="2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59D"/>
    <w:pPr>
      <w:numPr>
        <w:ilvl w:val="6"/>
        <w:numId w:val="2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59D"/>
    <w:pPr>
      <w:numPr>
        <w:ilvl w:val="7"/>
        <w:numId w:val="2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59D"/>
    <w:pPr>
      <w:numPr>
        <w:ilvl w:val="8"/>
        <w:numId w:val="2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59D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159D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9D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9D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9D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5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5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7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8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47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D9"/>
  </w:style>
  <w:style w:type="paragraph" w:styleId="Footer">
    <w:name w:val="footer"/>
    <w:basedOn w:val="Normal"/>
    <w:link w:val="FooterChar"/>
    <w:uiPriority w:val="99"/>
    <w:unhideWhenUsed/>
    <w:rsid w:val="0051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unicef.org/resources/early-childhood-development-index-2030-ecdi2030/" TargetMode="External"/><Relationship Id="rId1" Type="http://schemas.openxmlformats.org/officeDocument/2006/relationships/hyperlink" Target="https://www.thelancet.com/pb-assets/Lancet/stories/series/ecd/Lancet_ECD_Executive_Summary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Petrowski</dc:creator>
  <cp:keywords/>
  <dc:description/>
  <cp:lastModifiedBy>Nicole Petrowski</cp:lastModifiedBy>
  <cp:revision>2</cp:revision>
  <dcterms:created xsi:type="dcterms:W3CDTF">2022-03-15T13:25:00Z</dcterms:created>
  <dcterms:modified xsi:type="dcterms:W3CDTF">2022-03-15T13:25:00Z</dcterms:modified>
</cp:coreProperties>
</file>