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F3902" w14:textId="5C1FADD7" w:rsidR="0044159D" w:rsidRPr="00333770" w:rsidRDefault="0044159D" w:rsidP="0044159D">
      <w:pPr>
        <w:pStyle w:val="Heading2"/>
        <w:numPr>
          <w:ilvl w:val="0"/>
          <w:numId w:val="0"/>
        </w:numPr>
        <w:spacing w:line="269" w:lineRule="auto"/>
        <w:ind w:left="576" w:hanging="576"/>
        <w:rPr>
          <w:rFonts w:ascii="Calibri" w:eastAsia="Times New Roman" w:hAnsi="Calibri" w:cs="Calibri"/>
        </w:rPr>
      </w:pPr>
      <w:r w:rsidRPr="00C47876">
        <w:rPr>
          <w:rStyle w:val="Heading5Char"/>
          <w:lang w:bidi="pt-PT"/>
        </w:rPr>
        <w:t>ÍNDICE DE DESENVOLVIMENTO NA PRIMEIRA INFÂNCIA 2030 (ECDI2030)</w:t>
      </w:r>
    </w:p>
    <w:p w14:paraId="6F6ADF29" w14:textId="58F741C9" w:rsidR="0044159D" w:rsidRPr="00333770" w:rsidRDefault="0044159D" w:rsidP="0044159D">
      <w:pPr>
        <w:spacing w:before="100" w:after="200" w:line="240" w:lineRule="auto"/>
        <w:rPr>
          <w:rFonts w:ascii="Calibri" w:eastAsia="Times New Roman" w:hAnsi="Calibri" w:cs="Calibri"/>
          <w:sz w:val="20"/>
          <w:szCs w:val="20"/>
        </w:rPr>
      </w:pPr>
      <w:r w:rsidRPr="00C47876">
        <w:rPr>
          <w:sz w:val="20"/>
          <w:lang w:bidi="pt-PT"/>
        </w:rPr>
        <w:t>O desenvolvimento na primeira infância é um processo multidimensional que envolve uma progressão ordenada das aptidões e capacidades motoras, cognitivas, linguísticas, socioemocionais e reguladoras nos primeiros anos de vida.</w:t>
      </w:r>
      <w:r>
        <w:rPr>
          <w:rStyle w:val="FootnoteReference"/>
          <w:sz w:val="20"/>
          <w:lang w:bidi="pt-PT"/>
        </w:rPr>
        <w:footnoteReference w:id="2"/>
      </w:r>
      <w:r w:rsidRPr="00C47876">
        <w:rPr>
          <w:sz w:val="20"/>
          <w:lang w:bidi="pt-PT"/>
        </w:rPr>
        <w:t xml:space="preserve"> Embora sejam domínios de desenvolvimento na primeira infância distintos, estão interligados. É fundamental fomentar e apoiar todas estas dimensões de um modo holístico para garantir que as crianças </w:t>
      </w:r>
      <w:r w:rsidR="00333770">
        <w:rPr>
          <w:sz w:val="20"/>
          <w:lang w:bidi="pt-PT"/>
        </w:rPr>
        <w:t>tenham</w:t>
      </w:r>
      <w:r w:rsidR="00333770" w:rsidRPr="00C47876">
        <w:rPr>
          <w:sz w:val="20"/>
          <w:lang w:bidi="pt-PT"/>
        </w:rPr>
        <w:t xml:space="preserve"> </w:t>
      </w:r>
      <w:r w:rsidRPr="00C47876">
        <w:rPr>
          <w:sz w:val="20"/>
          <w:lang w:bidi="pt-PT"/>
        </w:rPr>
        <w:t xml:space="preserve">melhores possibilidades de atingir o seu máximo potencial. O crescimento físico, a literacia e competências numéricas, o desenvolvimento socioemocional e a prontidão para aprendizagem definem o percurso para a saúde, </w:t>
      </w:r>
      <w:r w:rsidR="00E85BF1">
        <w:rPr>
          <w:sz w:val="20"/>
          <w:lang w:bidi="pt-PT"/>
        </w:rPr>
        <w:t xml:space="preserve">a </w:t>
      </w:r>
      <w:r w:rsidRPr="00C47876">
        <w:rPr>
          <w:sz w:val="20"/>
          <w:lang w:bidi="pt-PT"/>
        </w:rPr>
        <w:t xml:space="preserve">aprendizagem e </w:t>
      </w:r>
      <w:r w:rsidR="00E85BF1">
        <w:rPr>
          <w:sz w:val="20"/>
          <w:lang w:bidi="pt-PT"/>
        </w:rPr>
        <w:t xml:space="preserve">o </w:t>
      </w:r>
      <w:r w:rsidRPr="00C47876">
        <w:rPr>
          <w:sz w:val="20"/>
          <w:lang w:bidi="pt-PT"/>
        </w:rPr>
        <w:t>bem-estar</w:t>
      </w:r>
      <w:r w:rsidR="00804745">
        <w:rPr>
          <w:sz w:val="20"/>
          <w:lang w:bidi="pt-PT"/>
        </w:rPr>
        <w:t xml:space="preserve"> </w:t>
      </w:r>
      <w:r w:rsidRPr="00C47876">
        <w:rPr>
          <w:sz w:val="20"/>
          <w:lang w:bidi="pt-PT"/>
        </w:rPr>
        <w:t>a longo prazo.</w:t>
      </w:r>
      <w:r>
        <w:rPr>
          <w:rStyle w:val="FootnoteReference"/>
          <w:sz w:val="20"/>
          <w:lang w:bidi="pt-PT"/>
        </w:rPr>
        <w:footnoteReference w:id="3"/>
      </w:r>
    </w:p>
    <w:p w14:paraId="72001523" w14:textId="75C22AC6" w:rsidR="0044159D" w:rsidRPr="00333770" w:rsidRDefault="0044159D" w:rsidP="0044159D">
      <w:pPr>
        <w:spacing w:before="100" w:after="200" w:line="240" w:lineRule="auto"/>
        <w:rPr>
          <w:rFonts w:ascii="Calibri" w:eastAsia="Times New Roman" w:hAnsi="Calibri" w:cs="Calibri"/>
          <w:sz w:val="20"/>
          <w:szCs w:val="20"/>
        </w:rPr>
      </w:pPr>
      <w:r w:rsidRPr="00C47876">
        <w:rPr>
          <w:sz w:val="20"/>
          <w:lang w:bidi="pt-PT"/>
        </w:rPr>
        <w:t xml:space="preserve">O módulo do Índice de Desenvolvimento </w:t>
      </w:r>
      <w:r w:rsidR="007C672A">
        <w:rPr>
          <w:sz w:val="20"/>
          <w:lang w:bidi="pt-PT"/>
        </w:rPr>
        <w:t>n</w:t>
      </w:r>
      <w:r w:rsidRPr="00C47876">
        <w:rPr>
          <w:sz w:val="20"/>
          <w:lang w:bidi="pt-PT"/>
        </w:rPr>
        <w:t xml:space="preserve">a Primeira Infância 2030 (ECDI2030) </w:t>
      </w:r>
      <w:r w:rsidR="00333770" w:rsidRPr="00333770">
        <w:rPr>
          <w:sz w:val="20"/>
          <w:lang w:bidi="pt-PT"/>
        </w:rPr>
        <w:t xml:space="preserve">regista a concretização de marcos fundamentais </w:t>
      </w:r>
      <w:r w:rsidRPr="00C47876">
        <w:rPr>
          <w:sz w:val="20"/>
          <w:lang w:bidi="pt-PT"/>
        </w:rPr>
        <w:t>d</w:t>
      </w:r>
      <w:r w:rsidR="005B5E8A">
        <w:rPr>
          <w:sz w:val="20"/>
          <w:lang w:bidi="pt-PT"/>
        </w:rPr>
        <w:t>o</w:t>
      </w:r>
      <w:r w:rsidRPr="00C47876">
        <w:rPr>
          <w:sz w:val="20"/>
          <w:lang w:bidi="pt-PT"/>
        </w:rPr>
        <w:t xml:space="preserve"> desenvolvimento por crianças entre os 24 e 59 meses. Os dados gerados pelo ECDI2030 podem ser utilizados para monitorizar e re</w:t>
      </w:r>
      <w:r w:rsidR="009A0BDD">
        <w:rPr>
          <w:sz w:val="20"/>
          <w:lang w:bidi="pt-PT"/>
        </w:rPr>
        <w:t>latar o indicador ODS 4.2.1</w:t>
      </w:r>
      <w:r w:rsidRPr="00C47876">
        <w:rPr>
          <w:sz w:val="20"/>
          <w:lang w:bidi="pt-PT"/>
        </w:rPr>
        <w:t xml:space="preserve"> e para informar as iniciativas do governo no sentido de melhorar os resultados de desenvolvimento entre as crianças. </w:t>
      </w:r>
    </w:p>
    <w:p w14:paraId="0837D9A0" w14:textId="31A499AD" w:rsidR="0044159D" w:rsidRPr="00C47876" w:rsidRDefault="00FD605F" w:rsidP="0044159D">
      <w:pPr>
        <w:spacing w:before="100" w:after="20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sz w:val="20"/>
          <w:lang w:bidi="pt-PT"/>
        </w:rPr>
        <w:t>O módulo</w:t>
      </w:r>
      <w:r w:rsidR="0044159D" w:rsidRPr="00C47876">
        <w:rPr>
          <w:sz w:val="20"/>
          <w:lang w:bidi="pt-PT"/>
        </w:rPr>
        <w:t xml:space="preserve"> inclui 20 </w:t>
      </w:r>
      <w:r w:rsidR="00333770">
        <w:rPr>
          <w:sz w:val="20"/>
          <w:lang w:bidi="pt-PT"/>
        </w:rPr>
        <w:t>p</w:t>
      </w:r>
      <w:r w:rsidR="00A57730">
        <w:rPr>
          <w:sz w:val="20"/>
          <w:lang w:bidi="pt-PT"/>
        </w:rPr>
        <w:t>er</w:t>
      </w:r>
      <w:r w:rsidR="00333770">
        <w:rPr>
          <w:sz w:val="20"/>
          <w:lang w:bidi="pt-PT"/>
        </w:rPr>
        <w:t>guntas</w:t>
      </w:r>
      <w:r w:rsidR="00333770" w:rsidRPr="00C47876">
        <w:rPr>
          <w:sz w:val="20"/>
          <w:lang w:bidi="pt-PT"/>
        </w:rPr>
        <w:t xml:space="preserve"> </w:t>
      </w:r>
      <w:r w:rsidR="0044159D" w:rsidRPr="00C47876">
        <w:rPr>
          <w:sz w:val="20"/>
          <w:lang w:bidi="pt-PT"/>
        </w:rPr>
        <w:t xml:space="preserve">sobre o comportamento das crianças em determinadas situações do quotidiano, assim como as competências e os conhecimentos adquiridos, refletindo a dificuldade crescente das competências que as crianças adquirem ao longo do seu crescimento. Os 20 itens são organizados de acordo com os três domínios da saúde, da aprendizagem e do bem-estar psicossocial. Considera-se que uma criança </w:t>
      </w:r>
      <w:r w:rsidR="00333770">
        <w:rPr>
          <w:sz w:val="20"/>
          <w:lang w:bidi="pt-PT"/>
        </w:rPr>
        <w:t xml:space="preserve">tem um desenvolvimento </w:t>
      </w:r>
      <w:r w:rsidR="009E3411">
        <w:rPr>
          <w:sz w:val="20"/>
          <w:lang w:bidi="pt-PT"/>
        </w:rPr>
        <w:t>apropriado</w:t>
      </w:r>
      <w:r w:rsidR="0044159D" w:rsidRPr="00C47876">
        <w:rPr>
          <w:sz w:val="20"/>
          <w:lang w:bidi="pt-PT"/>
        </w:rPr>
        <w:t xml:space="preserve"> caso tenha </w:t>
      </w:r>
      <w:r w:rsidR="00333770">
        <w:rPr>
          <w:sz w:val="20"/>
          <w:lang w:bidi="pt-PT"/>
        </w:rPr>
        <w:t>atingido um</w:t>
      </w:r>
      <w:r w:rsidR="0044159D" w:rsidRPr="00C47876">
        <w:rPr>
          <w:sz w:val="20"/>
          <w:lang w:bidi="pt-PT"/>
        </w:rPr>
        <w:t xml:space="preserve"> número mínimo de marcos </w:t>
      </w:r>
      <w:r w:rsidR="00333770">
        <w:rPr>
          <w:sz w:val="20"/>
          <w:lang w:bidi="pt-PT"/>
        </w:rPr>
        <w:t>previsto</w:t>
      </w:r>
      <w:r w:rsidR="00333770" w:rsidRPr="00C47876">
        <w:rPr>
          <w:sz w:val="20"/>
          <w:lang w:bidi="pt-PT"/>
        </w:rPr>
        <w:t xml:space="preserve"> </w:t>
      </w:r>
      <w:r w:rsidR="0044159D" w:rsidRPr="00C47876">
        <w:rPr>
          <w:sz w:val="20"/>
          <w:lang w:bidi="pt-PT"/>
        </w:rPr>
        <w:t xml:space="preserve">para a sua faixa etária. Cada um dos três domínios gerais é composto por um conjunto de subdomínios </w:t>
      </w:r>
      <w:r w:rsidR="00333770">
        <w:rPr>
          <w:sz w:val="20"/>
          <w:lang w:bidi="pt-PT"/>
        </w:rPr>
        <w:t>centrais</w:t>
      </w:r>
      <w:r w:rsidR="0044159D" w:rsidRPr="00C47876">
        <w:rPr>
          <w:sz w:val="20"/>
          <w:lang w:bidi="pt-PT"/>
        </w:rPr>
        <w:t>:</w:t>
      </w:r>
    </w:p>
    <w:p w14:paraId="61A496FB" w14:textId="06937FDC" w:rsidR="0044159D" w:rsidRPr="00C47876" w:rsidRDefault="0044159D" w:rsidP="0044159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sz w:val="20"/>
          <w:lang w:bidi="pt-PT"/>
        </w:rPr>
        <w:t>Subdomínios da saúde: motricidade grossa, motricidade fina e autocuidados.</w:t>
      </w:r>
    </w:p>
    <w:p w14:paraId="0240FC72" w14:textId="147E3003" w:rsidR="0044159D" w:rsidRPr="00C47876" w:rsidRDefault="0044159D" w:rsidP="0044159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sz w:val="20"/>
          <w:lang w:bidi="pt-PT"/>
        </w:rPr>
        <w:t>Subdomínios d</w:t>
      </w:r>
      <w:r w:rsidR="008E15F0">
        <w:rPr>
          <w:sz w:val="20"/>
          <w:lang w:bidi="pt-PT"/>
        </w:rPr>
        <w:t>a</w:t>
      </w:r>
      <w:r>
        <w:rPr>
          <w:sz w:val="20"/>
          <w:lang w:bidi="pt-PT"/>
        </w:rPr>
        <w:t xml:space="preserve"> aprendizagem: linguagem expressiva, literacia, numeracia, pré-escrita e funcionamento</w:t>
      </w:r>
      <w:r w:rsidR="00F17C1E">
        <w:rPr>
          <w:sz w:val="20"/>
          <w:lang w:bidi="pt-PT"/>
        </w:rPr>
        <w:t xml:space="preserve"> </w:t>
      </w:r>
      <w:r>
        <w:rPr>
          <w:sz w:val="20"/>
          <w:lang w:bidi="pt-PT"/>
        </w:rPr>
        <w:t>execu</w:t>
      </w:r>
      <w:r w:rsidR="00F17C1E">
        <w:rPr>
          <w:sz w:val="20"/>
          <w:lang w:bidi="pt-PT"/>
        </w:rPr>
        <w:t>tiv</w:t>
      </w:r>
      <w:r>
        <w:rPr>
          <w:sz w:val="20"/>
          <w:lang w:bidi="pt-PT"/>
        </w:rPr>
        <w:t>o.</w:t>
      </w:r>
    </w:p>
    <w:p w14:paraId="12214C0D" w14:textId="2718B254" w:rsidR="0044159D" w:rsidRPr="00C47876" w:rsidRDefault="0044159D" w:rsidP="0044159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sz w:val="20"/>
          <w:lang w:bidi="pt-PT"/>
        </w:rPr>
        <w:t>Subdomínios d</w:t>
      </w:r>
      <w:r w:rsidR="008E15F0">
        <w:rPr>
          <w:sz w:val="20"/>
          <w:lang w:bidi="pt-PT"/>
        </w:rPr>
        <w:t>o</w:t>
      </w:r>
      <w:r>
        <w:rPr>
          <w:sz w:val="20"/>
          <w:lang w:bidi="pt-PT"/>
        </w:rPr>
        <w:t xml:space="preserve"> bem-estar psicossocial: competências emocionais, competências sociais, comportamento</w:t>
      </w:r>
      <w:r w:rsidR="00F17C1E">
        <w:rPr>
          <w:sz w:val="20"/>
          <w:lang w:bidi="pt-PT"/>
        </w:rPr>
        <w:t xml:space="preserve"> </w:t>
      </w:r>
      <w:r>
        <w:rPr>
          <w:sz w:val="20"/>
          <w:lang w:bidi="pt-PT"/>
        </w:rPr>
        <w:t>inter</w:t>
      </w:r>
      <w:r w:rsidR="00F17C1E">
        <w:rPr>
          <w:sz w:val="20"/>
          <w:lang w:bidi="pt-PT"/>
        </w:rPr>
        <w:t>nalizante</w:t>
      </w:r>
      <w:r>
        <w:rPr>
          <w:sz w:val="20"/>
          <w:lang w:bidi="pt-PT"/>
        </w:rPr>
        <w:t xml:space="preserve"> e comportamento</w:t>
      </w:r>
      <w:r w:rsidR="00F17C1E">
        <w:rPr>
          <w:sz w:val="20"/>
          <w:lang w:bidi="pt-PT"/>
        </w:rPr>
        <w:t xml:space="preserve"> </w:t>
      </w:r>
      <w:r>
        <w:rPr>
          <w:sz w:val="20"/>
          <w:lang w:bidi="pt-PT"/>
        </w:rPr>
        <w:t>exter</w:t>
      </w:r>
      <w:r w:rsidR="00F17C1E">
        <w:rPr>
          <w:sz w:val="20"/>
          <w:lang w:bidi="pt-PT"/>
        </w:rPr>
        <w:t>nalizante</w:t>
      </w:r>
      <w:r>
        <w:rPr>
          <w:sz w:val="20"/>
          <w:lang w:bidi="pt-PT"/>
        </w:rPr>
        <w:t>.</w:t>
      </w:r>
    </w:p>
    <w:p w14:paraId="226F4FC4" w14:textId="77777777" w:rsidR="0044159D" w:rsidRPr="00333770" w:rsidRDefault="0044159D" w:rsidP="0044159D">
      <w:pPr>
        <w:spacing w:after="0" w:line="240" w:lineRule="auto"/>
        <w:ind w:left="540"/>
        <w:rPr>
          <w:rFonts w:ascii="Calibri" w:eastAsia="Times New Roman" w:hAnsi="Calibri" w:cs="Calibri"/>
          <w:sz w:val="20"/>
          <w:szCs w:val="20"/>
        </w:rPr>
      </w:pPr>
      <w:r w:rsidRPr="00C47876">
        <w:rPr>
          <w:sz w:val="20"/>
          <w:lang w:bidi="pt-PT"/>
        </w:rPr>
        <w:t> </w:t>
      </w:r>
    </w:p>
    <w:p w14:paraId="2353CFCC" w14:textId="1EE2A5F6" w:rsidR="0044159D" w:rsidRDefault="0044159D" w:rsidP="0044159D">
      <w:pPr>
        <w:spacing w:before="100" w:after="200" w:line="240" w:lineRule="auto"/>
        <w:rPr>
          <w:rFonts w:ascii="Calibri" w:eastAsia="Times New Roman" w:hAnsi="Calibri" w:cs="Calibri"/>
          <w:sz w:val="20"/>
          <w:szCs w:val="20"/>
        </w:rPr>
      </w:pPr>
      <w:r w:rsidRPr="00C47876">
        <w:rPr>
          <w:sz w:val="20"/>
          <w:lang w:bidi="pt-PT"/>
        </w:rPr>
        <w:t>O módulo do ECDI2030 não foi concebido para re</w:t>
      </w:r>
      <w:r w:rsidR="00E85BF1">
        <w:rPr>
          <w:sz w:val="20"/>
          <w:lang w:bidi="pt-PT"/>
        </w:rPr>
        <w:t>la</w:t>
      </w:r>
      <w:r w:rsidRPr="00C47876">
        <w:rPr>
          <w:sz w:val="20"/>
          <w:lang w:bidi="pt-PT"/>
        </w:rPr>
        <w:t xml:space="preserve">tar </w:t>
      </w:r>
      <w:r w:rsidR="00333770">
        <w:rPr>
          <w:sz w:val="20"/>
          <w:lang w:bidi="pt-PT"/>
        </w:rPr>
        <w:t xml:space="preserve">separadamente </w:t>
      </w:r>
      <w:r w:rsidRPr="00C47876">
        <w:rPr>
          <w:sz w:val="20"/>
          <w:lang w:bidi="pt-PT"/>
        </w:rPr>
        <w:t xml:space="preserve">domínios individuais. Pelo contrário, foi concebido para produzir </w:t>
      </w:r>
      <w:r w:rsidR="00333770">
        <w:rPr>
          <w:sz w:val="20"/>
          <w:lang w:bidi="pt-PT"/>
        </w:rPr>
        <w:t>uma</w:t>
      </w:r>
      <w:r w:rsidR="00333770" w:rsidRPr="00333770">
        <w:rPr>
          <w:sz w:val="20"/>
          <w:lang w:bidi="pt-PT"/>
        </w:rPr>
        <w:t xml:space="preserve"> pontuação resumida que capta </w:t>
      </w:r>
      <w:r w:rsidRPr="00C47876">
        <w:rPr>
          <w:sz w:val="20"/>
          <w:lang w:bidi="pt-PT"/>
        </w:rPr>
        <w:t xml:space="preserve">os conceitos interligados </w:t>
      </w:r>
      <w:r w:rsidR="00333770">
        <w:rPr>
          <w:sz w:val="20"/>
          <w:lang w:bidi="pt-PT"/>
        </w:rPr>
        <w:t xml:space="preserve">de desenvolvimento </w:t>
      </w:r>
      <w:r w:rsidRPr="00C47876">
        <w:rPr>
          <w:sz w:val="20"/>
          <w:lang w:bidi="pt-PT"/>
        </w:rPr>
        <w:t>integrados nos três domínios mencionados no ODS 4.2.1.</w:t>
      </w:r>
      <w:r>
        <w:rPr>
          <w:rStyle w:val="FootnoteReference"/>
          <w:sz w:val="20"/>
          <w:lang w:bidi="pt-PT"/>
        </w:rPr>
        <w:footnoteReference w:id="4"/>
      </w:r>
      <w:r w:rsidRPr="00C47876">
        <w:rPr>
          <w:sz w:val="20"/>
          <w:lang w:bidi="pt-PT"/>
        </w:rPr>
        <w:t xml:space="preserve"> </w:t>
      </w:r>
    </w:p>
    <w:p w14:paraId="6157846C" w14:textId="7455F748" w:rsidR="0044159D" w:rsidRPr="00C47876" w:rsidRDefault="0044159D" w:rsidP="0044159D">
      <w:pPr>
        <w:spacing w:before="100" w:after="20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sz w:val="20"/>
          <w:lang w:bidi="pt-PT"/>
        </w:rPr>
        <w:t>O indicador derivado do módulo ECDI2030 é a percentagem de crianças dos 24 aos 59 meses que atingiram o número mínimo de marcos de desenvolvimento previsto para a sua faixa etária</w:t>
      </w:r>
      <w:r w:rsidR="00E85BF1">
        <w:rPr>
          <w:sz w:val="20"/>
          <w:lang w:bidi="pt-PT"/>
        </w:rPr>
        <w:t>.</w:t>
      </w:r>
      <w:r>
        <w:rPr>
          <w:rStyle w:val="FootnoteReference"/>
          <w:sz w:val="20"/>
          <w:lang w:bidi="pt-PT"/>
        </w:rPr>
        <w:footnoteReference w:id="5"/>
      </w:r>
      <w:r>
        <w:rPr>
          <w:sz w:val="20"/>
          <w:lang w:bidi="pt-PT"/>
        </w:rPr>
        <w:t xml:space="preserve"> </w:t>
      </w:r>
    </w:p>
    <w:p w14:paraId="75800FBA" w14:textId="593405F0" w:rsidR="0044159D" w:rsidRPr="00333770" w:rsidRDefault="0044159D" w:rsidP="0044159D">
      <w:pPr>
        <w:spacing w:before="100" w:after="200" w:line="240" w:lineRule="auto"/>
        <w:jc w:val="center"/>
        <w:rPr>
          <w:rFonts w:ascii="Calibri" w:eastAsia="Times New Roman" w:hAnsi="Calibri" w:cs="Calibri"/>
          <w:color w:val="FF0000"/>
          <w:sz w:val="20"/>
          <w:szCs w:val="20"/>
        </w:rPr>
      </w:pPr>
    </w:p>
    <w:p w14:paraId="488C7B34" w14:textId="55849BB1" w:rsidR="00DF3F3A" w:rsidRPr="00D04F78" w:rsidRDefault="00DF3F3A" w:rsidP="00D04F78"/>
    <w:p w14:paraId="5B55C159" w14:textId="77777777" w:rsidR="000009A0" w:rsidRPr="00DF3F3A" w:rsidRDefault="000009A0" w:rsidP="00DF3F3A"/>
    <w:sectPr w:rsidR="000009A0" w:rsidRPr="00DF3F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4C3AC" w14:textId="77777777" w:rsidR="00245D39" w:rsidRDefault="00245D39" w:rsidP="0044159D">
      <w:pPr>
        <w:spacing w:after="0" w:line="240" w:lineRule="auto"/>
      </w:pPr>
      <w:r>
        <w:separator/>
      </w:r>
    </w:p>
  </w:endnote>
  <w:endnote w:type="continuationSeparator" w:id="0">
    <w:p w14:paraId="0B4AC031" w14:textId="77777777" w:rsidR="00245D39" w:rsidRDefault="00245D39" w:rsidP="0044159D">
      <w:pPr>
        <w:spacing w:after="0" w:line="240" w:lineRule="auto"/>
      </w:pPr>
      <w:r>
        <w:continuationSeparator/>
      </w:r>
    </w:p>
  </w:endnote>
  <w:endnote w:type="continuationNotice" w:id="1">
    <w:p w14:paraId="373042F3" w14:textId="77777777" w:rsidR="00245D39" w:rsidRDefault="00245D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D253" w14:textId="77777777" w:rsidR="00FF1577" w:rsidRDefault="00FF1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79CD1" w14:textId="77777777" w:rsidR="00245D39" w:rsidRDefault="00245D39" w:rsidP="0044159D">
      <w:pPr>
        <w:spacing w:after="0" w:line="240" w:lineRule="auto"/>
      </w:pPr>
      <w:r>
        <w:separator/>
      </w:r>
    </w:p>
  </w:footnote>
  <w:footnote w:type="continuationSeparator" w:id="0">
    <w:p w14:paraId="02B36D0B" w14:textId="77777777" w:rsidR="00245D39" w:rsidRDefault="00245D39" w:rsidP="0044159D">
      <w:pPr>
        <w:spacing w:after="0" w:line="240" w:lineRule="auto"/>
      </w:pPr>
      <w:r>
        <w:continuationSeparator/>
      </w:r>
    </w:p>
  </w:footnote>
  <w:footnote w:type="continuationNotice" w:id="1">
    <w:p w14:paraId="79A2C09A" w14:textId="77777777" w:rsidR="00245D39" w:rsidRDefault="00245D39">
      <w:pPr>
        <w:spacing w:after="0" w:line="240" w:lineRule="auto"/>
      </w:pPr>
    </w:p>
  </w:footnote>
  <w:footnote w:id="2">
    <w:p w14:paraId="07D346A5" w14:textId="3BD4B25D" w:rsidR="0044159D" w:rsidRPr="00333770" w:rsidRDefault="0044159D" w:rsidP="0044159D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en-US"/>
        </w:rPr>
      </w:pPr>
      <w:r w:rsidRPr="0044159D">
        <w:rPr>
          <w:rStyle w:val="FootnoteReference"/>
          <w:sz w:val="18"/>
          <w:lang w:bidi="pt-PT"/>
        </w:rPr>
        <w:footnoteRef/>
      </w:r>
      <w:r w:rsidRPr="00333770">
        <w:rPr>
          <w:sz w:val="18"/>
          <w:lang w:val="en-US" w:bidi="pt-PT"/>
        </w:rPr>
        <w:t xml:space="preserve"> UNICEF et al. </w:t>
      </w:r>
      <w:r w:rsidRPr="00333770">
        <w:rPr>
          <w:i/>
          <w:sz w:val="18"/>
          <w:lang w:val="en-US" w:bidi="pt-PT"/>
        </w:rPr>
        <w:t xml:space="preserve">Advancing Early Childhood Development: From Science to Scale. </w:t>
      </w:r>
      <w:r w:rsidRPr="00333770">
        <w:rPr>
          <w:sz w:val="18"/>
          <w:lang w:val="en-US" w:bidi="pt-PT"/>
        </w:rPr>
        <w:t xml:space="preserve">Executive Summary, The Lancet, 2016. </w:t>
      </w:r>
      <w:hyperlink r:id="rId1" w:history="1">
        <w:r w:rsidRPr="00333770">
          <w:rPr>
            <w:color w:val="0000FF"/>
            <w:sz w:val="18"/>
            <w:u w:val="single"/>
            <w:lang w:val="en-US" w:bidi="pt-PT"/>
          </w:rPr>
          <w:t>https://www.thelancet.com/pb-assets/Lancet/stories/series/ecd/Lancet_ECD_Executive_Summary.pdf.</w:t>
        </w:r>
      </w:hyperlink>
    </w:p>
  </w:footnote>
  <w:footnote w:id="3">
    <w:p w14:paraId="4F49E755" w14:textId="77777777" w:rsidR="0044159D" w:rsidRPr="00333770" w:rsidRDefault="0044159D" w:rsidP="0044159D">
      <w:pPr>
        <w:pStyle w:val="FootnoteText"/>
        <w:jc w:val="both"/>
        <w:rPr>
          <w:sz w:val="18"/>
          <w:szCs w:val="18"/>
          <w:lang w:val="en-US"/>
        </w:rPr>
      </w:pPr>
      <w:r w:rsidRPr="0044159D">
        <w:rPr>
          <w:rStyle w:val="FootnoteReference"/>
          <w:sz w:val="18"/>
          <w:lang w:bidi="pt-PT"/>
        </w:rPr>
        <w:footnoteRef/>
      </w:r>
      <w:r w:rsidRPr="00333770">
        <w:rPr>
          <w:sz w:val="18"/>
          <w:lang w:val="en-US" w:bidi="pt-PT"/>
        </w:rPr>
        <w:t xml:space="preserve"> Shonkoff, J. e D. Phillips. </w:t>
      </w:r>
      <w:r w:rsidRPr="00333770">
        <w:rPr>
          <w:i/>
          <w:sz w:val="18"/>
          <w:lang w:val="en-US" w:bidi="pt-PT"/>
        </w:rPr>
        <w:t>From Neurons to Neighborhoods: The Science of Early Childhood Development</w:t>
      </w:r>
      <w:r w:rsidRPr="00333770">
        <w:rPr>
          <w:sz w:val="18"/>
          <w:lang w:val="en-US" w:bidi="pt-PT"/>
        </w:rPr>
        <w:t xml:space="preserve">. Washington, D.C.: National Academy Press, 2000; United Nations Children’s Fund, </w:t>
      </w:r>
      <w:r w:rsidRPr="00333770">
        <w:rPr>
          <w:i/>
          <w:sz w:val="18"/>
          <w:lang w:val="en-US" w:bidi="pt-PT"/>
        </w:rPr>
        <w:t>Early Moments Matter</w:t>
      </w:r>
      <w:r w:rsidRPr="00333770">
        <w:rPr>
          <w:sz w:val="18"/>
          <w:lang w:val="en-US" w:bidi="pt-PT"/>
        </w:rPr>
        <w:t>, New York: UNICEF, 2017.</w:t>
      </w:r>
    </w:p>
  </w:footnote>
  <w:footnote w:id="4">
    <w:p w14:paraId="613C74FA" w14:textId="77777777" w:rsidR="0044159D" w:rsidRPr="0044159D" w:rsidRDefault="0044159D" w:rsidP="0044159D">
      <w:pPr>
        <w:pStyle w:val="FootnoteText"/>
        <w:jc w:val="both"/>
        <w:rPr>
          <w:sz w:val="18"/>
          <w:szCs w:val="18"/>
        </w:rPr>
      </w:pPr>
      <w:r w:rsidRPr="0044159D">
        <w:rPr>
          <w:rStyle w:val="FootnoteReference"/>
          <w:sz w:val="18"/>
          <w:lang w:bidi="pt-PT"/>
        </w:rPr>
        <w:footnoteRef/>
      </w:r>
      <w:r w:rsidRPr="0044159D">
        <w:rPr>
          <w:sz w:val="18"/>
          <w:lang w:bidi="pt-PT"/>
        </w:rPr>
        <w:t xml:space="preserve"> Para obter detalhes sobre o desenvolvimento do módulo ECDI2030 e o respetivo indicador, consulte “ECDI2030-Perguntas-Frequentes”: </w:t>
      </w:r>
      <w:hyperlink r:id="rId2" w:history="1">
        <w:r w:rsidRPr="0044159D">
          <w:rPr>
            <w:rStyle w:val="Hyperlink"/>
            <w:sz w:val="18"/>
            <w:lang w:bidi="pt-PT"/>
          </w:rPr>
          <w:t>https://data.unicef.org/resources/early-childhood-development-index-2030-ecdi2030/</w:t>
        </w:r>
      </w:hyperlink>
      <w:r w:rsidRPr="0044159D">
        <w:rPr>
          <w:sz w:val="18"/>
          <w:lang w:bidi="pt-PT"/>
        </w:rPr>
        <w:t xml:space="preserve"> </w:t>
      </w:r>
    </w:p>
  </w:footnote>
  <w:footnote w:id="5">
    <w:p w14:paraId="67609780" w14:textId="0AC27A0F" w:rsidR="0044159D" w:rsidRPr="007B38F6" w:rsidRDefault="0044159D" w:rsidP="0044159D">
      <w:pPr>
        <w:pStyle w:val="FootnoteText"/>
        <w:jc w:val="both"/>
        <w:rPr>
          <w:sz w:val="18"/>
          <w:szCs w:val="18"/>
        </w:rPr>
      </w:pPr>
      <w:r w:rsidRPr="0044159D">
        <w:rPr>
          <w:rStyle w:val="FootnoteReference"/>
          <w:sz w:val="18"/>
          <w:lang w:bidi="pt-PT"/>
        </w:rPr>
        <w:footnoteRef/>
      </w:r>
      <w:r w:rsidRPr="0044159D">
        <w:rPr>
          <w:sz w:val="18"/>
          <w:lang w:bidi="pt-PT"/>
        </w:rPr>
        <w:t xml:space="preserve"> O indicador gerado pelo módulo ECDI2030 não é totalmente comparável com o gerado pelo módulo </w:t>
      </w:r>
      <w:r w:rsidR="008C5FDA">
        <w:rPr>
          <w:sz w:val="18"/>
          <w:lang w:bidi="pt-PT"/>
        </w:rPr>
        <w:t>IDPI</w:t>
      </w:r>
      <w:r w:rsidRPr="0044159D">
        <w:rPr>
          <w:sz w:val="18"/>
          <w:lang w:bidi="pt-PT"/>
        </w:rPr>
        <w:t xml:space="preserve"> que foi inserido n</w:t>
      </w:r>
      <w:r w:rsidR="00FD605F">
        <w:rPr>
          <w:sz w:val="18"/>
          <w:lang w:bidi="pt-PT"/>
        </w:rPr>
        <w:t>o</w:t>
      </w:r>
      <w:r w:rsidRPr="0044159D">
        <w:rPr>
          <w:sz w:val="18"/>
          <w:lang w:bidi="pt-PT"/>
        </w:rPr>
        <w:t xml:space="preserve">s </w:t>
      </w:r>
      <w:r w:rsidR="00FD605F">
        <w:rPr>
          <w:sz w:val="18"/>
          <w:lang w:bidi="pt-PT"/>
        </w:rPr>
        <w:t>inquéritos</w:t>
      </w:r>
      <w:r w:rsidR="00FD605F" w:rsidRPr="0044159D">
        <w:rPr>
          <w:sz w:val="18"/>
          <w:lang w:bidi="pt-PT"/>
        </w:rPr>
        <w:t xml:space="preserve"> </w:t>
      </w:r>
      <w:r w:rsidRPr="0044159D">
        <w:rPr>
          <w:sz w:val="18"/>
          <w:lang w:bidi="pt-PT"/>
        </w:rPr>
        <w:t>MICS em 2009. Para obter mais informações, consulte “ECDI2030-Perguntas-Frequentes”.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CE1CB" w14:textId="77777777" w:rsidR="00FF1577" w:rsidRDefault="00FF1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146A1"/>
    <w:multiLevelType w:val="multilevel"/>
    <w:tmpl w:val="B4C0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38793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604DF8"/>
    <w:multiLevelType w:val="multilevel"/>
    <w:tmpl w:val="DCC61880"/>
    <w:lvl w:ilvl="0">
      <w:start w:val="7"/>
      <w:numFmt w:val="decimal"/>
      <w:lvlText w:val="%1"/>
      <w:lvlJc w:val="left"/>
      <w:pPr>
        <w:ind w:left="420" w:hanging="4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EastAsia" w:hAnsiTheme="minorHAnsi" w:cstheme="min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EastAsia" w:hAnsiTheme="minorHAnsi" w:cstheme="min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EastAsia" w:hAnsiTheme="minorHAnsi" w:cstheme="min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EastAsia" w:hAnsiTheme="minorHAnsi" w:cstheme="min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EastAsia" w:hAnsiTheme="minorHAnsi" w:cstheme="minorBidi" w:hint="default"/>
        <w:color w:val="000000" w:themeColor="text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9D"/>
    <w:rsid w:val="000009A0"/>
    <w:rsid w:val="000167D4"/>
    <w:rsid w:val="00077A92"/>
    <w:rsid w:val="000E2992"/>
    <w:rsid w:val="0015144A"/>
    <w:rsid w:val="00245D39"/>
    <w:rsid w:val="002F114D"/>
    <w:rsid w:val="003005A8"/>
    <w:rsid w:val="00302AF9"/>
    <w:rsid w:val="00333770"/>
    <w:rsid w:val="003A7FB2"/>
    <w:rsid w:val="0044159D"/>
    <w:rsid w:val="00492F9F"/>
    <w:rsid w:val="005B5E8A"/>
    <w:rsid w:val="006A5BA1"/>
    <w:rsid w:val="006A6606"/>
    <w:rsid w:val="006A7AD3"/>
    <w:rsid w:val="0071466C"/>
    <w:rsid w:val="007C672A"/>
    <w:rsid w:val="00804745"/>
    <w:rsid w:val="00811AFC"/>
    <w:rsid w:val="008C5FDA"/>
    <w:rsid w:val="008E15F0"/>
    <w:rsid w:val="009A0BDD"/>
    <w:rsid w:val="009E3411"/>
    <w:rsid w:val="009F1D2C"/>
    <w:rsid w:val="00A57730"/>
    <w:rsid w:val="00AC5D06"/>
    <w:rsid w:val="00B511F9"/>
    <w:rsid w:val="00B6596E"/>
    <w:rsid w:val="00BA0CED"/>
    <w:rsid w:val="00CA051B"/>
    <w:rsid w:val="00CD4EB3"/>
    <w:rsid w:val="00D04F78"/>
    <w:rsid w:val="00D07C21"/>
    <w:rsid w:val="00D90DD5"/>
    <w:rsid w:val="00DF3F3A"/>
    <w:rsid w:val="00E85BF1"/>
    <w:rsid w:val="00F17C1E"/>
    <w:rsid w:val="00FB6359"/>
    <w:rsid w:val="00FD605F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1031"/>
  <w15:chartTrackingRefBased/>
  <w15:docId w15:val="{7CCAFBEB-9A79-4CAA-9B8B-D51EAB8E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9D"/>
  </w:style>
  <w:style w:type="paragraph" w:styleId="Heading1">
    <w:name w:val="heading 1"/>
    <w:basedOn w:val="Normal"/>
    <w:next w:val="Normal"/>
    <w:link w:val="Heading1Char"/>
    <w:uiPriority w:val="9"/>
    <w:qFormat/>
    <w:rsid w:val="0044159D"/>
    <w:pPr>
      <w:numPr>
        <w:numId w:val="2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59D"/>
    <w:pPr>
      <w:numPr>
        <w:ilvl w:val="1"/>
        <w:numId w:val="2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59D"/>
    <w:pPr>
      <w:numPr>
        <w:ilvl w:val="2"/>
        <w:numId w:val="2"/>
      </w:num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59D"/>
    <w:pPr>
      <w:numPr>
        <w:ilvl w:val="3"/>
        <w:numId w:val="2"/>
      </w:numPr>
      <w:pBdr>
        <w:top w:val="dotted" w:sz="6" w:space="2" w:color="4472C4" w:themeColor="accent1"/>
      </w:pBdr>
      <w:spacing w:before="200" w:after="0" w:line="276" w:lineRule="auto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159D"/>
    <w:pPr>
      <w:numPr>
        <w:ilvl w:val="4"/>
        <w:numId w:val="2"/>
      </w:numPr>
      <w:pBdr>
        <w:bottom w:val="single" w:sz="6" w:space="1" w:color="4472C4" w:themeColor="accent1"/>
      </w:pBdr>
      <w:spacing w:before="200" w:after="0" w:line="276" w:lineRule="auto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59D"/>
    <w:pPr>
      <w:numPr>
        <w:ilvl w:val="5"/>
        <w:numId w:val="2"/>
      </w:numPr>
      <w:pBdr>
        <w:bottom w:val="dotted" w:sz="6" w:space="1" w:color="4472C4" w:themeColor="accent1"/>
      </w:pBdr>
      <w:spacing w:before="200" w:after="0" w:line="276" w:lineRule="auto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159D"/>
    <w:pPr>
      <w:numPr>
        <w:ilvl w:val="6"/>
        <w:numId w:val="2"/>
      </w:numPr>
      <w:spacing w:before="200" w:after="0" w:line="276" w:lineRule="auto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159D"/>
    <w:pPr>
      <w:numPr>
        <w:ilvl w:val="7"/>
        <w:numId w:val="2"/>
      </w:numPr>
      <w:spacing w:before="200" w:after="0" w:line="276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159D"/>
    <w:pPr>
      <w:numPr>
        <w:ilvl w:val="8"/>
        <w:numId w:val="2"/>
      </w:numPr>
      <w:spacing w:before="200" w:after="0" w:line="276" w:lineRule="auto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59D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4159D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159D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59D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159D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59D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159D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159D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159D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59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15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5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15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1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D2C"/>
  </w:style>
  <w:style w:type="paragraph" w:styleId="Footer">
    <w:name w:val="footer"/>
    <w:basedOn w:val="Normal"/>
    <w:link w:val="FooterChar"/>
    <w:uiPriority w:val="99"/>
    <w:unhideWhenUsed/>
    <w:rsid w:val="009F1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D2C"/>
  </w:style>
  <w:style w:type="paragraph" w:styleId="Revision">
    <w:name w:val="Revision"/>
    <w:hidden/>
    <w:uiPriority w:val="99"/>
    <w:semiHidden/>
    <w:rsid w:val="003337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5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ata.unicef.org/resources/early-childhood-development-index-2030-ecdi2030/" TargetMode="External"/><Relationship Id="rId1" Type="http://schemas.openxmlformats.org/officeDocument/2006/relationships/hyperlink" Target="https://www.thelancet.com/pb-assets/Lancet/stories/series/ecd/Lancet_ECD_Executive_Summary.pdf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Petrowski</dc:creator>
  <cp:keywords/>
  <dc:description/>
  <cp:lastModifiedBy>Nicole Petrowski</cp:lastModifiedBy>
  <cp:revision>2</cp:revision>
  <dcterms:created xsi:type="dcterms:W3CDTF">2022-01-20T14:13:00Z</dcterms:created>
  <dcterms:modified xsi:type="dcterms:W3CDTF">2022-01-20T14:13:00Z</dcterms:modified>
</cp:coreProperties>
</file>