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EF3902" w14:textId="2F69CF97" w:rsidR="0044159D" w:rsidRPr="00FF5AFA" w:rsidRDefault="0044159D" w:rsidP="0044159D">
      <w:pPr>
        <w:pStyle w:val="Heading2"/>
        <w:numPr>
          <w:ilvl w:val="0"/>
          <w:numId w:val="0"/>
        </w:numPr>
        <w:spacing w:line="269" w:lineRule="auto"/>
        <w:ind w:left="576" w:hanging="576"/>
        <w:rPr>
          <w:rFonts w:ascii="Calibri" w:eastAsia="Times New Roman" w:hAnsi="Calibri" w:cs="Calibri"/>
        </w:rPr>
      </w:pPr>
      <w:r w:rsidRPr="00C47876">
        <w:rPr>
          <w:rStyle w:val="Heading5Char"/>
          <w:lang w:bidi="fr-FR"/>
        </w:rPr>
        <w:t xml:space="preserve">INDICE DE DÉVELOPPEMENT DE LA PETITE ENFANCE </w:t>
      </w:r>
      <w:r w:rsidR="00E442CB">
        <w:rPr>
          <w:rStyle w:val="Heading5Char"/>
          <w:lang w:bidi="fr-FR"/>
        </w:rPr>
        <w:t xml:space="preserve">2030 </w:t>
      </w:r>
      <w:r w:rsidRPr="00C47876">
        <w:rPr>
          <w:rStyle w:val="Heading5Char"/>
          <w:lang w:bidi="fr-FR"/>
        </w:rPr>
        <w:t>(ECDI2030)</w:t>
      </w:r>
    </w:p>
    <w:p w14:paraId="6F6ADF29" w14:textId="77777777" w:rsidR="0044159D" w:rsidRPr="00E442CB" w:rsidRDefault="0044159D" w:rsidP="0044159D">
      <w:pPr>
        <w:spacing w:before="100" w:after="200" w:line="240" w:lineRule="auto"/>
        <w:rPr>
          <w:rFonts w:ascii="Calibri" w:eastAsia="Times New Roman" w:hAnsi="Calibri" w:cs="Calibri"/>
          <w:sz w:val="20"/>
          <w:szCs w:val="20"/>
        </w:rPr>
      </w:pPr>
      <w:r w:rsidRPr="00C47876">
        <w:rPr>
          <w:sz w:val="20"/>
          <w:lang w:bidi="fr-FR"/>
        </w:rPr>
        <w:t>Le développement de la petite enfance est un processus multidimensionnel qui implique une progression ordonnée des compétences et des capacités motrices, cognitives, linguistiques, socioémotionnelles et de régulation au cours des premières années de la vie</w:t>
      </w:r>
      <w:r>
        <w:rPr>
          <w:rStyle w:val="FootnoteReference"/>
          <w:sz w:val="20"/>
          <w:lang w:bidi="fr-FR"/>
        </w:rPr>
        <w:footnoteReference w:id="1"/>
      </w:r>
      <w:r w:rsidRPr="00C47876">
        <w:rPr>
          <w:sz w:val="20"/>
          <w:lang w:bidi="fr-FR"/>
        </w:rPr>
        <w:t>. Bien que distincts, ces domaines du développement de la petite enfance sont interconnectés. Il est essentiel de nourrir et de soutenir toutes ces dimensions de manière holistique pour que les enfants aient les meilleures chances de réaliser tout leur potentiel. La croissance physique, les compétences en matière de lecture, d’écriture et de calcul, le développement socioémotionnel et la préparation à l’apprentissage déterminent l’évolution de la santé, de l’apprentissage et du bien-être tout au long de la vie</w:t>
      </w:r>
      <w:r>
        <w:rPr>
          <w:rStyle w:val="FootnoteReference"/>
          <w:sz w:val="20"/>
          <w:lang w:bidi="fr-FR"/>
        </w:rPr>
        <w:footnoteReference w:id="2"/>
      </w:r>
      <w:r w:rsidRPr="00C47876">
        <w:rPr>
          <w:sz w:val="20"/>
          <w:lang w:bidi="fr-FR"/>
        </w:rPr>
        <w:t>.</w:t>
      </w:r>
    </w:p>
    <w:p w14:paraId="72001523" w14:textId="46E0DC07" w:rsidR="0044159D" w:rsidRPr="00E442CB" w:rsidRDefault="0044159D" w:rsidP="0044159D">
      <w:pPr>
        <w:spacing w:before="100" w:after="200" w:line="240" w:lineRule="auto"/>
        <w:rPr>
          <w:rFonts w:ascii="Calibri" w:eastAsia="Times New Roman" w:hAnsi="Calibri" w:cs="Calibri"/>
          <w:sz w:val="20"/>
          <w:szCs w:val="20"/>
        </w:rPr>
      </w:pPr>
      <w:r w:rsidRPr="00C47876">
        <w:rPr>
          <w:sz w:val="20"/>
          <w:lang w:bidi="fr-FR"/>
        </w:rPr>
        <w:t xml:space="preserve">Le module sur l’Indice de développement de la petite enfance </w:t>
      </w:r>
      <w:r w:rsidR="00E442CB">
        <w:rPr>
          <w:sz w:val="20"/>
          <w:lang w:bidi="fr-FR"/>
        </w:rPr>
        <w:t xml:space="preserve">2030 </w:t>
      </w:r>
      <w:r w:rsidRPr="00C47876">
        <w:rPr>
          <w:sz w:val="20"/>
          <w:lang w:bidi="fr-FR"/>
        </w:rPr>
        <w:t>(ECDI2030) permet de mesurer l’atteinte des principa</w:t>
      </w:r>
      <w:r w:rsidR="00984BBC">
        <w:rPr>
          <w:sz w:val="20"/>
          <w:lang w:bidi="fr-FR"/>
        </w:rPr>
        <w:t>les</w:t>
      </w:r>
      <w:r w:rsidRPr="00C47876">
        <w:rPr>
          <w:sz w:val="20"/>
          <w:lang w:bidi="fr-FR"/>
        </w:rPr>
        <w:t xml:space="preserve"> </w:t>
      </w:r>
      <w:r w:rsidR="00984BBC">
        <w:rPr>
          <w:sz w:val="20"/>
          <w:lang w:bidi="fr-FR"/>
        </w:rPr>
        <w:t>étapes</w:t>
      </w:r>
      <w:r w:rsidRPr="00C47876">
        <w:rPr>
          <w:sz w:val="20"/>
          <w:lang w:bidi="fr-FR"/>
        </w:rPr>
        <w:t xml:space="preserve"> du développement par les enfants âgés de 24 à 59 mois. Les données générées par l’ECDI2030 peuvent être utilisées pour le suivi et le rapportage sur l’indicateur 4.2.1 des objectifs de développements durables (ODD), et pour éclairer les efforts du gouvernement pour améliorer les résultats du développement des enfants. </w:t>
      </w:r>
    </w:p>
    <w:p w14:paraId="0837D9A0" w14:textId="54F738BA" w:rsidR="0044159D" w:rsidRPr="00C47876" w:rsidRDefault="0044159D" w:rsidP="0044159D">
      <w:pPr>
        <w:spacing w:before="100" w:after="200" w:line="240" w:lineRule="auto"/>
        <w:rPr>
          <w:rFonts w:ascii="Calibri" w:eastAsia="Times New Roman" w:hAnsi="Calibri" w:cs="Calibri"/>
          <w:sz w:val="20"/>
          <w:szCs w:val="20"/>
        </w:rPr>
      </w:pPr>
      <w:r w:rsidRPr="00C47876">
        <w:rPr>
          <w:sz w:val="20"/>
          <w:lang w:bidi="fr-FR"/>
        </w:rPr>
        <w:t xml:space="preserve">Cette mesure comprend 20 questions sur la façon dont les enfants se comportent dans certaines situations de la vie quotidienne, ainsi que sur les compétences et les connaissances qu’ils ont acquises, reflétant la difficulté croissante des compétences acquises par les enfants au fur et à mesure de leur croissance. Les 20 questions sont organisées selon les trois domaines généraux de la santé, de l’apprentissage et du bien-être psychosocial. On considère qu’un enfant est en bonne voie de développement s’il a atteint le nombre minimum </w:t>
      </w:r>
      <w:r w:rsidR="00984BBC">
        <w:rPr>
          <w:sz w:val="20"/>
          <w:lang w:bidi="fr-FR"/>
        </w:rPr>
        <w:t>d’étapes</w:t>
      </w:r>
      <w:r w:rsidRPr="00C47876">
        <w:rPr>
          <w:sz w:val="20"/>
          <w:lang w:bidi="fr-FR"/>
        </w:rPr>
        <w:t xml:space="preserve"> attendu</w:t>
      </w:r>
      <w:r w:rsidR="00984BBC">
        <w:rPr>
          <w:sz w:val="20"/>
          <w:lang w:bidi="fr-FR"/>
        </w:rPr>
        <w:t>e</w:t>
      </w:r>
      <w:r w:rsidRPr="00C47876">
        <w:rPr>
          <w:sz w:val="20"/>
          <w:lang w:bidi="fr-FR"/>
        </w:rPr>
        <w:t>s pour son groupe d’âge. Chacun des trois domaines généraux est composé d’un ensemble de sous-domaines fondamentaux :</w:t>
      </w:r>
    </w:p>
    <w:p w14:paraId="61A496FB" w14:textId="77777777" w:rsidR="0044159D" w:rsidRPr="00C47876" w:rsidRDefault="0044159D" w:rsidP="0044159D">
      <w:pPr>
        <w:numPr>
          <w:ilvl w:val="0"/>
          <w:numId w:val="1"/>
        </w:numPr>
        <w:spacing w:after="0" w:line="240" w:lineRule="auto"/>
        <w:ind w:left="540"/>
        <w:textAlignment w:val="center"/>
        <w:rPr>
          <w:rFonts w:ascii="Calibri" w:eastAsia="Times New Roman" w:hAnsi="Calibri" w:cs="Calibri"/>
        </w:rPr>
      </w:pPr>
      <w:r>
        <w:rPr>
          <w:sz w:val="20"/>
          <w:lang w:bidi="fr-FR"/>
        </w:rPr>
        <w:t>Sous-domaines de la santé : motricité globale, motricité fine et soins personnels.</w:t>
      </w:r>
    </w:p>
    <w:p w14:paraId="0240FC72" w14:textId="77777777" w:rsidR="0044159D" w:rsidRPr="00C47876" w:rsidRDefault="0044159D" w:rsidP="0044159D">
      <w:pPr>
        <w:numPr>
          <w:ilvl w:val="0"/>
          <w:numId w:val="1"/>
        </w:numPr>
        <w:spacing w:after="0" w:line="240" w:lineRule="auto"/>
        <w:ind w:left="540"/>
        <w:textAlignment w:val="center"/>
        <w:rPr>
          <w:rFonts w:ascii="Calibri" w:eastAsia="Times New Roman" w:hAnsi="Calibri" w:cs="Calibri"/>
        </w:rPr>
      </w:pPr>
      <w:r>
        <w:rPr>
          <w:sz w:val="20"/>
          <w:lang w:bidi="fr-FR"/>
        </w:rPr>
        <w:t>Sous-domaines d’apprentissage : langage expressif, lecture et écriture, calcul, pré-écriture et fonctions exécutives.</w:t>
      </w:r>
    </w:p>
    <w:p w14:paraId="12214C0D" w14:textId="77777777" w:rsidR="0044159D" w:rsidRPr="00C47876" w:rsidRDefault="0044159D" w:rsidP="0044159D">
      <w:pPr>
        <w:numPr>
          <w:ilvl w:val="0"/>
          <w:numId w:val="1"/>
        </w:numPr>
        <w:spacing w:after="0" w:line="240" w:lineRule="auto"/>
        <w:ind w:left="540"/>
        <w:textAlignment w:val="center"/>
        <w:rPr>
          <w:rFonts w:ascii="Calibri" w:eastAsia="Times New Roman" w:hAnsi="Calibri" w:cs="Calibri"/>
        </w:rPr>
      </w:pPr>
      <w:r>
        <w:rPr>
          <w:sz w:val="20"/>
          <w:lang w:bidi="fr-FR"/>
        </w:rPr>
        <w:t>Sous-domaines du bien-être psychosocial : compétences émotionnelles, compétences sociales, comportement intériorisé et comportement extériorisé.</w:t>
      </w:r>
    </w:p>
    <w:p w14:paraId="226F4FC4" w14:textId="77777777" w:rsidR="0044159D" w:rsidRPr="00E442CB" w:rsidRDefault="0044159D" w:rsidP="0044159D">
      <w:pPr>
        <w:spacing w:after="0" w:line="240" w:lineRule="auto"/>
        <w:ind w:left="540"/>
        <w:rPr>
          <w:rFonts w:ascii="Calibri" w:eastAsia="Times New Roman" w:hAnsi="Calibri" w:cs="Calibri"/>
          <w:sz w:val="20"/>
          <w:szCs w:val="20"/>
        </w:rPr>
      </w:pPr>
      <w:r w:rsidRPr="00C47876">
        <w:rPr>
          <w:sz w:val="20"/>
          <w:lang w:bidi="fr-FR"/>
        </w:rPr>
        <w:t> </w:t>
      </w:r>
    </w:p>
    <w:p w14:paraId="2353CFCC" w14:textId="77777777" w:rsidR="0044159D" w:rsidRDefault="0044159D" w:rsidP="0044159D">
      <w:pPr>
        <w:spacing w:before="100" w:after="200" w:line="240" w:lineRule="auto"/>
        <w:rPr>
          <w:rFonts w:ascii="Calibri" w:eastAsia="Times New Roman" w:hAnsi="Calibri" w:cs="Calibri"/>
          <w:sz w:val="20"/>
          <w:szCs w:val="20"/>
        </w:rPr>
      </w:pPr>
      <w:r w:rsidRPr="00C47876">
        <w:rPr>
          <w:sz w:val="20"/>
          <w:lang w:bidi="fr-FR"/>
        </w:rPr>
        <w:t>Le module sur l’ECDI2030 n’est pas conçu pour rendre compte des domaines individuels séparément. Il s’agit plutôt de produire un score récapitulatif unique qui rend compte des concepts de développement interdépendants intégrés dans les trois domaines mentionnés dans l’ODD 4.2.1</w:t>
      </w:r>
      <w:r>
        <w:rPr>
          <w:rStyle w:val="FootnoteReference"/>
          <w:sz w:val="20"/>
          <w:lang w:bidi="fr-FR"/>
        </w:rPr>
        <w:footnoteReference w:id="3"/>
      </w:r>
      <w:r w:rsidRPr="00C47876">
        <w:rPr>
          <w:sz w:val="20"/>
          <w:lang w:bidi="fr-FR"/>
        </w:rPr>
        <w:t xml:space="preserve">. </w:t>
      </w:r>
    </w:p>
    <w:p w14:paraId="6157846C" w14:textId="2B48098B" w:rsidR="0044159D" w:rsidRPr="00C47876" w:rsidRDefault="0044159D" w:rsidP="0044159D">
      <w:pPr>
        <w:spacing w:before="100" w:after="200" w:line="240" w:lineRule="auto"/>
        <w:rPr>
          <w:rFonts w:ascii="Calibri" w:eastAsia="Times New Roman" w:hAnsi="Calibri" w:cs="Calibri"/>
          <w:sz w:val="20"/>
          <w:szCs w:val="20"/>
        </w:rPr>
      </w:pPr>
      <w:r>
        <w:rPr>
          <w:sz w:val="20"/>
          <w:lang w:bidi="fr-FR"/>
        </w:rPr>
        <w:t>L’indicateur dérivé du module sur l’ECDI2030 est le pourcentage d’enfants âgés de 24 à 59 mois qui ont atteint le nombre minimum d</w:t>
      </w:r>
      <w:r w:rsidR="00984BBC">
        <w:rPr>
          <w:sz w:val="20"/>
          <w:lang w:bidi="fr-FR"/>
        </w:rPr>
        <w:t>’étapes</w:t>
      </w:r>
      <w:r>
        <w:rPr>
          <w:sz w:val="20"/>
          <w:lang w:bidi="fr-FR"/>
        </w:rPr>
        <w:t xml:space="preserve"> attendu</w:t>
      </w:r>
      <w:r w:rsidR="00984BBC">
        <w:rPr>
          <w:sz w:val="20"/>
          <w:lang w:bidi="fr-FR"/>
        </w:rPr>
        <w:t>e</w:t>
      </w:r>
      <w:r>
        <w:rPr>
          <w:sz w:val="20"/>
          <w:lang w:bidi="fr-FR"/>
        </w:rPr>
        <w:t>s pour leur groupe d’âge</w:t>
      </w:r>
      <w:r>
        <w:rPr>
          <w:rStyle w:val="FootnoteReference"/>
          <w:sz w:val="20"/>
          <w:lang w:bidi="fr-FR"/>
        </w:rPr>
        <w:footnoteReference w:id="4"/>
      </w:r>
      <w:r>
        <w:rPr>
          <w:sz w:val="20"/>
          <w:lang w:bidi="fr-FR"/>
        </w:rPr>
        <w:t xml:space="preserve">. </w:t>
      </w:r>
    </w:p>
    <w:p w14:paraId="75800FBA" w14:textId="593405F0" w:rsidR="0044159D" w:rsidRPr="00E442CB" w:rsidRDefault="0044159D" w:rsidP="0044159D">
      <w:pPr>
        <w:spacing w:before="100" w:after="200" w:line="240" w:lineRule="auto"/>
        <w:jc w:val="center"/>
        <w:rPr>
          <w:rFonts w:ascii="Calibri" w:eastAsia="Times New Roman" w:hAnsi="Calibri" w:cs="Calibri"/>
          <w:color w:val="FF0000"/>
          <w:sz w:val="20"/>
          <w:szCs w:val="20"/>
        </w:rPr>
      </w:pPr>
    </w:p>
    <w:p w14:paraId="488C7B34" w14:textId="77777777" w:rsidR="000009A0" w:rsidRDefault="000009A0"/>
    <w:sectPr w:rsidR="000009A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A13B1F" w14:textId="77777777" w:rsidR="0049300B" w:rsidRDefault="0049300B" w:rsidP="0044159D">
      <w:pPr>
        <w:spacing w:after="0" w:line="240" w:lineRule="auto"/>
      </w:pPr>
      <w:r>
        <w:separator/>
      </w:r>
    </w:p>
  </w:endnote>
  <w:endnote w:type="continuationSeparator" w:id="0">
    <w:p w14:paraId="6666C465" w14:textId="77777777" w:rsidR="0049300B" w:rsidRDefault="0049300B" w:rsidP="00441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4DF4F6" w14:textId="77777777" w:rsidR="0049300B" w:rsidRDefault="0049300B" w:rsidP="0044159D">
      <w:pPr>
        <w:spacing w:after="0" w:line="240" w:lineRule="auto"/>
      </w:pPr>
      <w:r>
        <w:separator/>
      </w:r>
    </w:p>
  </w:footnote>
  <w:footnote w:type="continuationSeparator" w:id="0">
    <w:p w14:paraId="180D9F3C" w14:textId="77777777" w:rsidR="0049300B" w:rsidRDefault="0049300B" w:rsidP="0044159D">
      <w:pPr>
        <w:spacing w:after="0" w:line="240" w:lineRule="auto"/>
      </w:pPr>
      <w:r>
        <w:continuationSeparator/>
      </w:r>
    </w:p>
  </w:footnote>
  <w:footnote w:id="1">
    <w:p w14:paraId="07D346A5" w14:textId="3BD4B25D" w:rsidR="0044159D" w:rsidRPr="0044159D" w:rsidRDefault="0044159D" w:rsidP="0044159D">
      <w:pPr>
        <w:spacing w:after="0" w:line="240" w:lineRule="auto"/>
        <w:jc w:val="both"/>
        <w:rPr>
          <w:rFonts w:ascii="Calibri" w:eastAsia="Times New Roman" w:hAnsi="Calibri" w:cs="Calibri"/>
          <w:sz w:val="18"/>
          <w:szCs w:val="18"/>
        </w:rPr>
      </w:pPr>
      <w:r w:rsidRPr="0044159D">
        <w:rPr>
          <w:rStyle w:val="FootnoteReference"/>
          <w:sz w:val="18"/>
          <w:lang w:bidi="fr-FR"/>
        </w:rPr>
        <w:footnoteRef/>
      </w:r>
      <w:r w:rsidRPr="00E442CB">
        <w:rPr>
          <w:sz w:val="18"/>
          <w:lang w:val="en-US" w:bidi="fr-FR"/>
        </w:rPr>
        <w:t xml:space="preserve"> UNICEF </w:t>
      </w:r>
      <w:r w:rsidRPr="00E442CB">
        <w:rPr>
          <w:i/>
          <w:sz w:val="18"/>
          <w:lang w:val="en-US" w:bidi="fr-FR"/>
        </w:rPr>
        <w:t>et al</w:t>
      </w:r>
      <w:r w:rsidRPr="00E442CB">
        <w:rPr>
          <w:sz w:val="18"/>
          <w:lang w:val="en-US" w:bidi="fr-FR"/>
        </w:rPr>
        <w:t>., « Advancing Early Childhood Development:</w:t>
      </w:r>
      <w:r w:rsidRPr="00E442CB">
        <w:rPr>
          <w:i/>
          <w:sz w:val="18"/>
          <w:lang w:val="en-US" w:bidi="fr-FR"/>
        </w:rPr>
        <w:t xml:space="preserve"> </w:t>
      </w:r>
      <w:r w:rsidRPr="00E442CB">
        <w:rPr>
          <w:sz w:val="18"/>
          <w:lang w:val="en-US" w:bidi="fr-FR"/>
        </w:rPr>
        <w:t>From Science to Scale ».</w:t>
      </w:r>
      <w:r w:rsidRPr="00E442CB">
        <w:rPr>
          <w:i/>
          <w:sz w:val="18"/>
          <w:lang w:val="en-US" w:bidi="fr-FR"/>
        </w:rPr>
        <w:t xml:space="preserve"> </w:t>
      </w:r>
      <w:r w:rsidRPr="0044159D">
        <w:rPr>
          <w:sz w:val="18"/>
          <w:lang w:bidi="fr-FR"/>
        </w:rPr>
        <w:t xml:space="preserve">Résumé analytique, </w:t>
      </w:r>
      <w:r w:rsidRPr="0044159D">
        <w:rPr>
          <w:i/>
          <w:sz w:val="18"/>
          <w:lang w:bidi="fr-FR"/>
        </w:rPr>
        <w:t>The Lancet</w:t>
      </w:r>
      <w:r w:rsidRPr="0044159D">
        <w:rPr>
          <w:sz w:val="18"/>
          <w:lang w:bidi="fr-FR"/>
        </w:rPr>
        <w:t xml:space="preserve">, 2016. Disponible à l’adresse suivante : </w:t>
      </w:r>
      <w:hyperlink r:id="rId1" w:history="1">
        <w:r w:rsidRPr="0044159D">
          <w:rPr>
            <w:color w:val="0000FF"/>
            <w:sz w:val="18"/>
            <w:u w:val="single"/>
            <w:lang w:bidi="fr-FR"/>
          </w:rPr>
          <w:t>https://www.thelancet.com/pb-assets/Lancet/stories/series/ecd/Lancet_ECD_Executive_Summary.pdf.</w:t>
        </w:r>
      </w:hyperlink>
    </w:p>
  </w:footnote>
  <w:footnote w:id="2">
    <w:p w14:paraId="4F49E755" w14:textId="77777777" w:rsidR="0044159D" w:rsidRPr="0044159D" w:rsidRDefault="0044159D" w:rsidP="0044159D">
      <w:pPr>
        <w:pStyle w:val="FootnoteText"/>
        <w:jc w:val="both"/>
        <w:rPr>
          <w:sz w:val="18"/>
          <w:szCs w:val="18"/>
        </w:rPr>
      </w:pPr>
      <w:r w:rsidRPr="0044159D">
        <w:rPr>
          <w:rStyle w:val="FootnoteReference"/>
          <w:sz w:val="18"/>
          <w:lang w:bidi="fr-FR"/>
        </w:rPr>
        <w:footnoteRef/>
      </w:r>
      <w:r w:rsidRPr="00E442CB">
        <w:rPr>
          <w:sz w:val="18"/>
          <w:lang w:val="en-US" w:bidi="fr-FR"/>
        </w:rPr>
        <w:t xml:space="preserve"> Shonkoff, J. et Phillips, D., </w:t>
      </w:r>
      <w:r w:rsidRPr="00E442CB">
        <w:rPr>
          <w:i/>
          <w:sz w:val="18"/>
          <w:lang w:val="en-US" w:bidi="fr-FR"/>
        </w:rPr>
        <w:t>From Neurons to Neighborhoods: The Science of Early Childhood Development</w:t>
      </w:r>
      <w:r w:rsidRPr="00E442CB">
        <w:rPr>
          <w:sz w:val="18"/>
          <w:lang w:val="en-US" w:bidi="fr-FR"/>
        </w:rPr>
        <w:t xml:space="preserve">. </w:t>
      </w:r>
      <w:r w:rsidRPr="0044159D">
        <w:rPr>
          <w:sz w:val="18"/>
          <w:lang w:bidi="fr-FR"/>
        </w:rPr>
        <w:t xml:space="preserve">National Academy Press, Washington, 2000 ; Fonds des Nations Unies pour l’enfance, </w:t>
      </w:r>
      <w:r w:rsidRPr="0044159D">
        <w:rPr>
          <w:i/>
          <w:sz w:val="18"/>
          <w:lang w:bidi="fr-FR"/>
        </w:rPr>
        <w:t>Les premiers moments comptent pour chaque enfant</w:t>
      </w:r>
      <w:r w:rsidRPr="0044159D">
        <w:rPr>
          <w:sz w:val="18"/>
          <w:lang w:bidi="fr-FR"/>
        </w:rPr>
        <w:t>, UNICEF, New York, 2017.</w:t>
      </w:r>
    </w:p>
  </w:footnote>
  <w:footnote w:id="3">
    <w:p w14:paraId="613C74FA" w14:textId="77777777" w:rsidR="0044159D" w:rsidRPr="0044159D" w:rsidRDefault="0044159D" w:rsidP="0044159D">
      <w:pPr>
        <w:pStyle w:val="FootnoteText"/>
        <w:jc w:val="both"/>
        <w:rPr>
          <w:sz w:val="18"/>
          <w:szCs w:val="18"/>
        </w:rPr>
      </w:pPr>
      <w:r w:rsidRPr="0044159D">
        <w:rPr>
          <w:rStyle w:val="FootnoteReference"/>
          <w:sz w:val="18"/>
          <w:lang w:bidi="fr-FR"/>
        </w:rPr>
        <w:footnoteRef/>
      </w:r>
      <w:r w:rsidRPr="0044159D">
        <w:rPr>
          <w:sz w:val="18"/>
          <w:lang w:bidi="fr-FR"/>
        </w:rPr>
        <w:t xml:space="preserve"> Pour plus de détails sur le développement du module sur l’EDCI2030 et de l’indicateur associé, voir « ECDI2030-Frequently-Asked-Questions » : </w:t>
      </w:r>
      <w:hyperlink r:id="rId2" w:history="1">
        <w:r w:rsidRPr="0044159D">
          <w:rPr>
            <w:rStyle w:val="Hyperlink"/>
            <w:sz w:val="18"/>
            <w:lang w:bidi="fr-FR"/>
          </w:rPr>
          <w:t>https://data.unicef.org/resources/early-childhood-development-index-2030-ecdi2030/</w:t>
        </w:r>
      </w:hyperlink>
      <w:r w:rsidRPr="0044159D">
        <w:rPr>
          <w:sz w:val="18"/>
          <w:lang w:bidi="fr-FR"/>
        </w:rPr>
        <w:t xml:space="preserve"> </w:t>
      </w:r>
    </w:p>
  </w:footnote>
  <w:footnote w:id="4">
    <w:p w14:paraId="67609780" w14:textId="770A1316" w:rsidR="0044159D" w:rsidRPr="007B38F6" w:rsidRDefault="0044159D" w:rsidP="0044159D">
      <w:pPr>
        <w:pStyle w:val="FootnoteText"/>
        <w:jc w:val="both"/>
        <w:rPr>
          <w:sz w:val="18"/>
          <w:szCs w:val="18"/>
        </w:rPr>
      </w:pPr>
      <w:r w:rsidRPr="0044159D">
        <w:rPr>
          <w:rStyle w:val="FootnoteReference"/>
          <w:sz w:val="18"/>
          <w:lang w:bidi="fr-FR"/>
        </w:rPr>
        <w:footnoteRef/>
      </w:r>
      <w:r w:rsidRPr="0044159D">
        <w:rPr>
          <w:sz w:val="18"/>
          <w:lang w:bidi="fr-FR"/>
        </w:rPr>
        <w:t xml:space="preserve"> L’indicateur généré par le module sur l’ECDI2030 n’est pas entièrement comparable à celui généré par le module sur l’ECDI qui a été introduit dans les enquêtes en grappes à indicateurs multiples en 2009. Pour plus d’informations, voir « ECDI2030-Frequently-Asked-Questions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B146A1"/>
    <w:multiLevelType w:val="multilevel"/>
    <w:tmpl w:val="B4C0A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B38793D"/>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74604DF8"/>
    <w:multiLevelType w:val="multilevel"/>
    <w:tmpl w:val="DCC61880"/>
    <w:lvl w:ilvl="0">
      <w:start w:val="7"/>
      <w:numFmt w:val="decimal"/>
      <w:lvlText w:val="%1"/>
      <w:lvlJc w:val="left"/>
      <w:pPr>
        <w:ind w:left="420" w:hanging="420"/>
      </w:pPr>
      <w:rPr>
        <w:rFonts w:asciiTheme="minorHAnsi" w:eastAsiaTheme="minorEastAsia" w:hAnsiTheme="minorHAnsi" w:cstheme="minorBidi" w:hint="default"/>
        <w:color w:val="000000" w:themeColor="text1"/>
      </w:rPr>
    </w:lvl>
    <w:lvl w:ilvl="1">
      <w:start w:val="10"/>
      <w:numFmt w:val="decimal"/>
      <w:lvlText w:val="%1.%2"/>
      <w:lvlJc w:val="left"/>
      <w:pPr>
        <w:ind w:left="420" w:hanging="420"/>
      </w:pPr>
      <w:rPr>
        <w:rFonts w:asciiTheme="minorHAnsi" w:eastAsiaTheme="minorEastAsia" w:hAnsiTheme="minorHAnsi" w:cstheme="minorBidi" w:hint="default"/>
        <w:color w:val="000000" w:themeColor="text1"/>
      </w:rPr>
    </w:lvl>
    <w:lvl w:ilvl="2">
      <w:start w:val="1"/>
      <w:numFmt w:val="decimal"/>
      <w:lvlText w:val="%1.%2.%3"/>
      <w:lvlJc w:val="left"/>
      <w:pPr>
        <w:ind w:left="720" w:hanging="720"/>
      </w:pPr>
      <w:rPr>
        <w:rFonts w:asciiTheme="minorHAnsi" w:eastAsiaTheme="minorEastAsia" w:hAnsiTheme="minorHAnsi" w:cstheme="minorBidi" w:hint="default"/>
        <w:color w:val="000000" w:themeColor="text1"/>
      </w:rPr>
    </w:lvl>
    <w:lvl w:ilvl="3">
      <w:start w:val="1"/>
      <w:numFmt w:val="decimal"/>
      <w:lvlText w:val="%1.%2.%3.%4"/>
      <w:lvlJc w:val="left"/>
      <w:pPr>
        <w:ind w:left="720" w:hanging="720"/>
      </w:pPr>
      <w:rPr>
        <w:rFonts w:asciiTheme="minorHAnsi" w:eastAsiaTheme="minorEastAsia" w:hAnsiTheme="minorHAnsi" w:cstheme="minorBidi" w:hint="default"/>
        <w:color w:val="000000" w:themeColor="text1"/>
      </w:rPr>
    </w:lvl>
    <w:lvl w:ilvl="4">
      <w:start w:val="1"/>
      <w:numFmt w:val="decimal"/>
      <w:lvlText w:val="%1.%2.%3.%4.%5"/>
      <w:lvlJc w:val="left"/>
      <w:pPr>
        <w:ind w:left="1080" w:hanging="1080"/>
      </w:pPr>
      <w:rPr>
        <w:rFonts w:asciiTheme="minorHAnsi" w:eastAsiaTheme="minorEastAsia" w:hAnsiTheme="minorHAnsi" w:cstheme="minorBidi" w:hint="default"/>
        <w:color w:val="000000" w:themeColor="text1"/>
      </w:rPr>
    </w:lvl>
    <w:lvl w:ilvl="5">
      <w:start w:val="1"/>
      <w:numFmt w:val="decimal"/>
      <w:lvlText w:val="%1.%2.%3.%4.%5.%6"/>
      <w:lvlJc w:val="left"/>
      <w:pPr>
        <w:ind w:left="1080" w:hanging="1080"/>
      </w:pPr>
      <w:rPr>
        <w:rFonts w:asciiTheme="minorHAnsi" w:eastAsiaTheme="minorEastAsia" w:hAnsiTheme="minorHAnsi" w:cstheme="minorBidi" w:hint="default"/>
        <w:color w:val="000000" w:themeColor="text1"/>
      </w:rPr>
    </w:lvl>
    <w:lvl w:ilvl="6">
      <w:start w:val="1"/>
      <w:numFmt w:val="decimal"/>
      <w:lvlText w:val="%1.%2.%3.%4.%5.%6.%7"/>
      <w:lvlJc w:val="left"/>
      <w:pPr>
        <w:ind w:left="1440" w:hanging="1440"/>
      </w:pPr>
      <w:rPr>
        <w:rFonts w:asciiTheme="minorHAnsi" w:eastAsiaTheme="minorEastAsia" w:hAnsiTheme="minorHAnsi" w:cstheme="minorBidi" w:hint="default"/>
        <w:color w:val="000000" w:themeColor="text1"/>
      </w:rPr>
    </w:lvl>
    <w:lvl w:ilvl="7">
      <w:start w:val="1"/>
      <w:numFmt w:val="decimal"/>
      <w:lvlText w:val="%1.%2.%3.%4.%5.%6.%7.%8"/>
      <w:lvlJc w:val="left"/>
      <w:pPr>
        <w:ind w:left="1440" w:hanging="1440"/>
      </w:pPr>
      <w:rPr>
        <w:rFonts w:asciiTheme="minorHAnsi" w:eastAsiaTheme="minorEastAsia" w:hAnsiTheme="minorHAnsi" w:cstheme="minorBidi" w:hint="default"/>
        <w:color w:val="000000" w:themeColor="text1"/>
      </w:rPr>
    </w:lvl>
    <w:lvl w:ilvl="8">
      <w:start w:val="1"/>
      <w:numFmt w:val="decimal"/>
      <w:lvlText w:val="%1.%2.%3.%4.%5.%6.%7.%8.%9"/>
      <w:lvlJc w:val="left"/>
      <w:pPr>
        <w:ind w:left="1800" w:hanging="1800"/>
      </w:pPr>
      <w:rPr>
        <w:rFonts w:asciiTheme="minorHAnsi" w:eastAsiaTheme="minorEastAsia" w:hAnsiTheme="minorHAnsi" w:cstheme="minorBidi" w:hint="default"/>
        <w:color w:val="000000" w:themeColor="text1"/>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59D"/>
    <w:rsid w:val="000009A0"/>
    <w:rsid w:val="00186083"/>
    <w:rsid w:val="0044159D"/>
    <w:rsid w:val="0049300B"/>
    <w:rsid w:val="004C38D5"/>
    <w:rsid w:val="005C1EE2"/>
    <w:rsid w:val="006351AF"/>
    <w:rsid w:val="008D2A2A"/>
    <w:rsid w:val="008E0B26"/>
    <w:rsid w:val="00906D70"/>
    <w:rsid w:val="009548DF"/>
    <w:rsid w:val="00984BBC"/>
    <w:rsid w:val="00B528BC"/>
    <w:rsid w:val="00BB754F"/>
    <w:rsid w:val="00C94AF8"/>
    <w:rsid w:val="00CC0628"/>
    <w:rsid w:val="00D41E97"/>
    <w:rsid w:val="00D90DD5"/>
    <w:rsid w:val="00E442CB"/>
    <w:rsid w:val="00E51400"/>
    <w:rsid w:val="00EE3369"/>
    <w:rsid w:val="00F3538C"/>
    <w:rsid w:val="00FF5AF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51031"/>
  <w15:chartTrackingRefBased/>
  <w15:docId w15:val="{7CCAFBEB-9A79-4CAA-9B8B-D51EAB8E4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159D"/>
  </w:style>
  <w:style w:type="paragraph" w:styleId="Heading1">
    <w:name w:val="heading 1"/>
    <w:basedOn w:val="Normal"/>
    <w:next w:val="Normal"/>
    <w:link w:val="Heading1Char"/>
    <w:uiPriority w:val="9"/>
    <w:qFormat/>
    <w:rsid w:val="0044159D"/>
    <w:pPr>
      <w:numPr>
        <w:numId w:val="2"/>
      </w:num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before="100" w:after="0" w:line="276" w:lineRule="auto"/>
      <w:outlineLvl w:val="0"/>
    </w:pPr>
    <w:rPr>
      <w:rFonts w:eastAsiaTheme="minorEastAsia"/>
      <w:caps/>
      <w:color w:val="FFFFFF" w:themeColor="background1"/>
      <w:spacing w:val="15"/>
    </w:rPr>
  </w:style>
  <w:style w:type="paragraph" w:styleId="Heading2">
    <w:name w:val="heading 2"/>
    <w:basedOn w:val="Normal"/>
    <w:next w:val="Normal"/>
    <w:link w:val="Heading2Char"/>
    <w:uiPriority w:val="9"/>
    <w:unhideWhenUsed/>
    <w:qFormat/>
    <w:rsid w:val="0044159D"/>
    <w:pPr>
      <w:numPr>
        <w:ilvl w:val="1"/>
        <w:numId w:val="2"/>
      </w:num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before="100" w:after="0" w:line="276" w:lineRule="auto"/>
      <w:outlineLvl w:val="1"/>
    </w:pPr>
    <w:rPr>
      <w:rFonts w:eastAsiaTheme="minorEastAsia"/>
      <w:caps/>
      <w:spacing w:val="15"/>
      <w:sz w:val="20"/>
      <w:szCs w:val="20"/>
    </w:rPr>
  </w:style>
  <w:style w:type="paragraph" w:styleId="Heading3">
    <w:name w:val="heading 3"/>
    <w:basedOn w:val="Normal"/>
    <w:next w:val="Normal"/>
    <w:link w:val="Heading3Char"/>
    <w:uiPriority w:val="9"/>
    <w:semiHidden/>
    <w:unhideWhenUsed/>
    <w:qFormat/>
    <w:rsid w:val="0044159D"/>
    <w:pPr>
      <w:numPr>
        <w:ilvl w:val="2"/>
        <w:numId w:val="2"/>
      </w:numPr>
      <w:pBdr>
        <w:top w:val="single" w:sz="6" w:space="2" w:color="4472C4" w:themeColor="accent1"/>
      </w:pBdr>
      <w:spacing w:before="300" w:after="0" w:line="276" w:lineRule="auto"/>
      <w:outlineLvl w:val="2"/>
    </w:pPr>
    <w:rPr>
      <w:rFonts w:eastAsiaTheme="minorEastAsia"/>
      <w:caps/>
      <w:color w:val="1F3763" w:themeColor="accent1" w:themeShade="7F"/>
      <w:spacing w:val="15"/>
      <w:sz w:val="20"/>
      <w:szCs w:val="20"/>
    </w:rPr>
  </w:style>
  <w:style w:type="paragraph" w:styleId="Heading4">
    <w:name w:val="heading 4"/>
    <w:basedOn w:val="Normal"/>
    <w:next w:val="Normal"/>
    <w:link w:val="Heading4Char"/>
    <w:uiPriority w:val="9"/>
    <w:semiHidden/>
    <w:unhideWhenUsed/>
    <w:qFormat/>
    <w:rsid w:val="0044159D"/>
    <w:pPr>
      <w:numPr>
        <w:ilvl w:val="3"/>
        <w:numId w:val="2"/>
      </w:numPr>
      <w:pBdr>
        <w:top w:val="dotted" w:sz="6" w:space="2" w:color="4472C4" w:themeColor="accent1"/>
      </w:pBdr>
      <w:spacing w:before="200" w:after="0" w:line="276" w:lineRule="auto"/>
      <w:outlineLvl w:val="3"/>
    </w:pPr>
    <w:rPr>
      <w:rFonts w:eastAsiaTheme="minorEastAsia"/>
      <w:caps/>
      <w:color w:val="2F5496" w:themeColor="accent1" w:themeShade="BF"/>
      <w:spacing w:val="10"/>
      <w:sz w:val="20"/>
      <w:szCs w:val="20"/>
    </w:rPr>
  </w:style>
  <w:style w:type="paragraph" w:styleId="Heading5">
    <w:name w:val="heading 5"/>
    <w:basedOn w:val="Normal"/>
    <w:next w:val="Normal"/>
    <w:link w:val="Heading5Char"/>
    <w:uiPriority w:val="9"/>
    <w:semiHidden/>
    <w:unhideWhenUsed/>
    <w:qFormat/>
    <w:rsid w:val="0044159D"/>
    <w:pPr>
      <w:numPr>
        <w:ilvl w:val="4"/>
        <w:numId w:val="2"/>
      </w:numPr>
      <w:pBdr>
        <w:bottom w:val="single" w:sz="6" w:space="1" w:color="4472C4" w:themeColor="accent1"/>
      </w:pBdr>
      <w:spacing w:before="200" w:after="0" w:line="276" w:lineRule="auto"/>
      <w:outlineLvl w:val="4"/>
    </w:pPr>
    <w:rPr>
      <w:rFonts w:eastAsiaTheme="minorEastAsia"/>
      <w:caps/>
      <w:color w:val="2F5496" w:themeColor="accent1" w:themeShade="BF"/>
      <w:spacing w:val="10"/>
      <w:sz w:val="20"/>
      <w:szCs w:val="20"/>
    </w:rPr>
  </w:style>
  <w:style w:type="paragraph" w:styleId="Heading6">
    <w:name w:val="heading 6"/>
    <w:basedOn w:val="Normal"/>
    <w:next w:val="Normal"/>
    <w:link w:val="Heading6Char"/>
    <w:uiPriority w:val="9"/>
    <w:semiHidden/>
    <w:unhideWhenUsed/>
    <w:qFormat/>
    <w:rsid w:val="0044159D"/>
    <w:pPr>
      <w:numPr>
        <w:ilvl w:val="5"/>
        <w:numId w:val="2"/>
      </w:numPr>
      <w:pBdr>
        <w:bottom w:val="dotted" w:sz="6" w:space="1" w:color="4472C4" w:themeColor="accent1"/>
      </w:pBdr>
      <w:spacing w:before="200" w:after="0" w:line="276" w:lineRule="auto"/>
      <w:outlineLvl w:val="5"/>
    </w:pPr>
    <w:rPr>
      <w:rFonts w:eastAsiaTheme="minorEastAsia"/>
      <w:caps/>
      <w:color w:val="2F5496" w:themeColor="accent1" w:themeShade="BF"/>
      <w:spacing w:val="10"/>
      <w:sz w:val="20"/>
      <w:szCs w:val="20"/>
    </w:rPr>
  </w:style>
  <w:style w:type="paragraph" w:styleId="Heading7">
    <w:name w:val="heading 7"/>
    <w:basedOn w:val="Normal"/>
    <w:next w:val="Normal"/>
    <w:link w:val="Heading7Char"/>
    <w:uiPriority w:val="9"/>
    <w:semiHidden/>
    <w:unhideWhenUsed/>
    <w:qFormat/>
    <w:rsid w:val="0044159D"/>
    <w:pPr>
      <w:numPr>
        <w:ilvl w:val="6"/>
        <w:numId w:val="2"/>
      </w:numPr>
      <w:spacing w:before="200" w:after="0" w:line="276" w:lineRule="auto"/>
      <w:outlineLvl w:val="6"/>
    </w:pPr>
    <w:rPr>
      <w:rFonts w:eastAsiaTheme="minorEastAsia"/>
      <w:caps/>
      <w:color w:val="2F5496" w:themeColor="accent1" w:themeShade="BF"/>
      <w:spacing w:val="10"/>
      <w:sz w:val="20"/>
      <w:szCs w:val="20"/>
    </w:rPr>
  </w:style>
  <w:style w:type="paragraph" w:styleId="Heading8">
    <w:name w:val="heading 8"/>
    <w:basedOn w:val="Normal"/>
    <w:next w:val="Normal"/>
    <w:link w:val="Heading8Char"/>
    <w:uiPriority w:val="9"/>
    <w:semiHidden/>
    <w:unhideWhenUsed/>
    <w:qFormat/>
    <w:rsid w:val="0044159D"/>
    <w:pPr>
      <w:numPr>
        <w:ilvl w:val="7"/>
        <w:numId w:val="2"/>
      </w:numPr>
      <w:spacing w:before="200" w:after="0" w:line="276" w:lineRule="auto"/>
      <w:outlineLvl w:val="7"/>
    </w:pPr>
    <w:rPr>
      <w:rFonts w:eastAsiaTheme="minorEastAsia"/>
      <w:caps/>
      <w:spacing w:val="10"/>
      <w:sz w:val="18"/>
      <w:szCs w:val="18"/>
    </w:rPr>
  </w:style>
  <w:style w:type="paragraph" w:styleId="Heading9">
    <w:name w:val="heading 9"/>
    <w:basedOn w:val="Normal"/>
    <w:next w:val="Normal"/>
    <w:link w:val="Heading9Char"/>
    <w:uiPriority w:val="9"/>
    <w:semiHidden/>
    <w:unhideWhenUsed/>
    <w:qFormat/>
    <w:rsid w:val="0044159D"/>
    <w:pPr>
      <w:numPr>
        <w:ilvl w:val="8"/>
        <w:numId w:val="2"/>
      </w:numPr>
      <w:spacing w:before="200" w:after="0" w:line="276" w:lineRule="auto"/>
      <w:outlineLvl w:val="8"/>
    </w:pPr>
    <w:rPr>
      <w:rFonts w:eastAsiaTheme="minorEastAsia"/>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159D"/>
    <w:rPr>
      <w:rFonts w:eastAsiaTheme="minorEastAsia"/>
      <w:caps/>
      <w:color w:val="FFFFFF" w:themeColor="background1"/>
      <w:spacing w:val="15"/>
      <w:shd w:val="clear" w:color="auto" w:fill="4472C4" w:themeFill="accent1"/>
    </w:rPr>
  </w:style>
  <w:style w:type="character" w:customStyle="1" w:styleId="Heading2Char">
    <w:name w:val="Heading 2 Char"/>
    <w:basedOn w:val="DefaultParagraphFont"/>
    <w:link w:val="Heading2"/>
    <w:uiPriority w:val="9"/>
    <w:rsid w:val="0044159D"/>
    <w:rPr>
      <w:rFonts w:eastAsiaTheme="minorEastAsia"/>
      <w:caps/>
      <w:spacing w:val="15"/>
      <w:sz w:val="20"/>
      <w:szCs w:val="20"/>
      <w:shd w:val="clear" w:color="auto" w:fill="D9E2F3" w:themeFill="accent1" w:themeFillTint="33"/>
    </w:rPr>
  </w:style>
  <w:style w:type="character" w:customStyle="1" w:styleId="Heading3Char">
    <w:name w:val="Heading 3 Char"/>
    <w:basedOn w:val="DefaultParagraphFont"/>
    <w:link w:val="Heading3"/>
    <w:uiPriority w:val="9"/>
    <w:semiHidden/>
    <w:rsid w:val="0044159D"/>
    <w:rPr>
      <w:rFonts w:eastAsiaTheme="minorEastAsia"/>
      <w:caps/>
      <w:color w:val="1F3763" w:themeColor="accent1" w:themeShade="7F"/>
      <w:spacing w:val="15"/>
      <w:sz w:val="20"/>
      <w:szCs w:val="20"/>
    </w:rPr>
  </w:style>
  <w:style w:type="character" w:customStyle="1" w:styleId="Heading4Char">
    <w:name w:val="Heading 4 Char"/>
    <w:basedOn w:val="DefaultParagraphFont"/>
    <w:link w:val="Heading4"/>
    <w:uiPriority w:val="9"/>
    <w:semiHidden/>
    <w:rsid w:val="0044159D"/>
    <w:rPr>
      <w:rFonts w:eastAsiaTheme="minorEastAsia"/>
      <w:caps/>
      <w:color w:val="2F5496" w:themeColor="accent1" w:themeShade="BF"/>
      <w:spacing w:val="10"/>
      <w:sz w:val="20"/>
      <w:szCs w:val="20"/>
    </w:rPr>
  </w:style>
  <w:style w:type="character" w:customStyle="1" w:styleId="Heading5Char">
    <w:name w:val="Heading 5 Char"/>
    <w:basedOn w:val="DefaultParagraphFont"/>
    <w:link w:val="Heading5"/>
    <w:uiPriority w:val="9"/>
    <w:semiHidden/>
    <w:rsid w:val="0044159D"/>
    <w:rPr>
      <w:rFonts w:eastAsiaTheme="minorEastAsia"/>
      <w:caps/>
      <w:color w:val="2F5496" w:themeColor="accent1" w:themeShade="BF"/>
      <w:spacing w:val="10"/>
      <w:sz w:val="20"/>
      <w:szCs w:val="20"/>
    </w:rPr>
  </w:style>
  <w:style w:type="character" w:customStyle="1" w:styleId="Heading6Char">
    <w:name w:val="Heading 6 Char"/>
    <w:basedOn w:val="DefaultParagraphFont"/>
    <w:link w:val="Heading6"/>
    <w:uiPriority w:val="9"/>
    <w:semiHidden/>
    <w:rsid w:val="0044159D"/>
    <w:rPr>
      <w:rFonts w:eastAsiaTheme="minorEastAsia"/>
      <w:caps/>
      <w:color w:val="2F5496" w:themeColor="accent1" w:themeShade="BF"/>
      <w:spacing w:val="10"/>
      <w:sz w:val="20"/>
      <w:szCs w:val="20"/>
    </w:rPr>
  </w:style>
  <w:style w:type="character" w:customStyle="1" w:styleId="Heading7Char">
    <w:name w:val="Heading 7 Char"/>
    <w:basedOn w:val="DefaultParagraphFont"/>
    <w:link w:val="Heading7"/>
    <w:uiPriority w:val="9"/>
    <w:semiHidden/>
    <w:rsid w:val="0044159D"/>
    <w:rPr>
      <w:rFonts w:eastAsiaTheme="minorEastAsia"/>
      <w:caps/>
      <w:color w:val="2F5496" w:themeColor="accent1" w:themeShade="BF"/>
      <w:spacing w:val="10"/>
      <w:sz w:val="20"/>
      <w:szCs w:val="20"/>
    </w:rPr>
  </w:style>
  <w:style w:type="character" w:customStyle="1" w:styleId="Heading8Char">
    <w:name w:val="Heading 8 Char"/>
    <w:basedOn w:val="DefaultParagraphFont"/>
    <w:link w:val="Heading8"/>
    <w:uiPriority w:val="9"/>
    <w:semiHidden/>
    <w:rsid w:val="0044159D"/>
    <w:rPr>
      <w:rFonts w:eastAsiaTheme="minorEastAsia"/>
      <w:caps/>
      <w:spacing w:val="10"/>
      <w:sz w:val="18"/>
      <w:szCs w:val="18"/>
    </w:rPr>
  </w:style>
  <w:style w:type="character" w:customStyle="1" w:styleId="Heading9Char">
    <w:name w:val="Heading 9 Char"/>
    <w:basedOn w:val="DefaultParagraphFont"/>
    <w:link w:val="Heading9"/>
    <w:uiPriority w:val="9"/>
    <w:semiHidden/>
    <w:rsid w:val="0044159D"/>
    <w:rPr>
      <w:rFonts w:eastAsiaTheme="minorEastAsia"/>
      <w:i/>
      <w:iCs/>
      <w:caps/>
      <w:spacing w:val="10"/>
      <w:sz w:val="18"/>
      <w:szCs w:val="18"/>
    </w:rPr>
  </w:style>
  <w:style w:type="character" w:styleId="Hyperlink">
    <w:name w:val="Hyperlink"/>
    <w:basedOn w:val="DefaultParagraphFont"/>
    <w:uiPriority w:val="99"/>
    <w:unhideWhenUsed/>
    <w:rsid w:val="0044159D"/>
    <w:rPr>
      <w:color w:val="0000FF"/>
      <w:u w:val="single"/>
    </w:rPr>
  </w:style>
  <w:style w:type="paragraph" w:styleId="FootnoteText">
    <w:name w:val="footnote text"/>
    <w:basedOn w:val="Normal"/>
    <w:link w:val="FootnoteTextChar"/>
    <w:uiPriority w:val="99"/>
    <w:semiHidden/>
    <w:unhideWhenUsed/>
    <w:rsid w:val="0044159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4159D"/>
    <w:rPr>
      <w:sz w:val="20"/>
      <w:szCs w:val="20"/>
    </w:rPr>
  </w:style>
  <w:style w:type="character" w:styleId="FootnoteReference">
    <w:name w:val="footnote reference"/>
    <w:basedOn w:val="DefaultParagraphFont"/>
    <w:uiPriority w:val="99"/>
    <w:semiHidden/>
    <w:unhideWhenUsed/>
    <w:rsid w:val="0044159D"/>
    <w:rPr>
      <w:vertAlign w:val="superscript"/>
    </w:rPr>
  </w:style>
  <w:style w:type="character" w:styleId="CommentReference">
    <w:name w:val="annotation reference"/>
    <w:basedOn w:val="DefaultParagraphFont"/>
    <w:uiPriority w:val="99"/>
    <w:semiHidden/>
    <w:unhideWhenUsed/>
    <w:rsid w:val="00E442CB"/>
    <w:rPr>
      <w:sz w:val="16"/>
      <w:szCs w:val="16"/>
    </w:rPr>
  </w:style>
  <w:style w:type="paragraph" w:styleId="CommentText">
    <w:name w:val="annotation text"/>
    <w:basedOn w:val="Normal"/>
    <w:link w:val="CommentTextChar"/>
    <w:uiPriority w:val="99"/>
    <w:semiHidden/>
    <w:unhideWhenUsed/>
    <w:rsid w:val="00E442CB"/>
    <w:pPr>
      <w:spacing w:line="240" w:lineRule="auto"/>
    </w:pPr>
    <w:rPr>
      <w:sz w:val="20"/>
      <w:szCs w:val="20"/>
    </w:rPr>
  </w:style>
  <w:style w:type="character" w:customStyle="1" w:styleId="CommentTextChar">
    <w:name w:val="Comment Text Char"/>
    <w:basedOn w:val="DefaultParagraphFont"/>
    <w:link w:val="CommentText"/>
    <w:uiPriority w:val="99"/>
    <w:semiHidden/>
    <w:rsid w:val="00E442CB"/>
    <w:rPr>
      <w:sz w:val="20"/>
      <w:szCs w:val="20"/>
    </w:rPr>
  </w:style>
  <w:style w:type="paragraph" w:styleId="CommentSubject">
    <w:name w:val="annotation subject"/>
    <w:basedOn w:val="CommentText"/>
    <w:next w:val="CommentText"/>
    <w:link w:val="CommentSubjectChar"/>
    <w:uiPriority w:val="99"/>
    <w:semiHidden/>
    <w:unhideWhenUsed/>
    <w:rsid w:val="00E442CB"/>
    <w:rPr>
      <w:b/>
      <w:bCs/>
    </w:rPr>
  </w:style>
  <w:style w:type="character" w:customStyle="1" w:styleId="CommentSubjectChar">
    <w:name w:val="Comment Subject Char"/>
    <w:basedOn w:val="CommentTextChar"/>
    <w:link w:val="CommentSubject"/>
    <w:uiPriority w:val="99"/>
    <w:semiHidden/>
    <w:rsid w:val="00E442CB"/>
    <w:rPr>
      <w:b/>
      <w:bCs/>
      <w:sz w:val="20"/>
      <w:szCs w:val="20"/>
    </w:rPr>
  </w:style>
  <w:style w:type="paragraph" w:styleId="Revision">
    <w:name w:val="Revision"/>
    <w:hidden/>
    <w:uiPriority w:val="99"/>
    <w:semiHidden/>
    <w:rsid w:val="00B528BC"/>
    <w:pPr>
      <w:spacing w:after="0" w:line="240" w:lineRule="auto"/>
    </w:pPr>
  </w:style>
  <w:style w:type="character" w:customStyle="1" w:styleId="apple-converted-space">
    <w:name w:val="apple-converted-space"/>
    <w:basedOn w:val="DefaultParagraphFont"/>
    <w:rsid w:val="00B528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312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s://data.unicef.org/resources/early-childhood-development-index-2030-ecdi2030/" TargetMode="External"/><Relationship Id="rId1" Type="http://schemas.openxmlformats.org/officeDocument/2006/relationships/hyperlink" Target="https://www.thelancet.com/pb-assets/Lancet/stories/series/ecd/Lancet_ECD_Executive_Summar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412</Words>
  <Characters>2353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Petrowski</dc:creator>
  <cp:keywords/>
  <dc:description/>
  <cp:lastModifiedBy>Nicole Petrowski</cp:lastModifiedBy>
  <cp:revision>2</cp:revision>
  <dcterms:created xsi:type="dcterms:W3CDTF">2022-01-20T14:12:00Z</dcterms:created>
  <dcterms:modified xsi:type="dcterms:W3CDTF">2022-01-20T14:12:00Z</dcterms:modified>
</cp:coreProperties>
</file>