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3902" w14:textId="5C1FADD7" w:rsidR="0044159D" w:rsidRPr="00C47876" w:rsidRDefault="0044159D" w:rsidP="0044159D">
      <w:pPr>
        <w:pStyle w:val="Heading2"/>
        <w:numPr>
          <w:ilvl w:val="0"/>
          <w:numId w:val="0"/>
        </w:numPr>
        <w:spacing w:line="269" w:lineRule="auto"/>
        <w:ind w:left="576" w:hanging="576"/>
        <w:rPr>
          <w:rFonts w:ascii="Calibri" w:eastAsia="SimSun" w:hAnsi="Calibri" w:cs="Calibri"/>
        </w:rPr>
      </w:pPr>
      <w:r>
        <w:rPr>
          <w:rStyle w:val="Heading5Char"/>
          <w:rFonts w:hint="eastAsia"/>
          <w:color w:val="000000" w:themeColor="text1"/>
        </w:rPr>
        <w:t>儿童早期发展指数</w:t>
      </w:r>
      <w:r>
        <w:rPr>
          <w:rStyle w:val="Heading5Char"/>
          <w:rFonts w:hint="eastAsia"/>
          <w:color w:val="000000" w:themeColor="text1"/>
        </w:rPr>
        <w:t>2030</w:t>
      </w:r>
      <w:r>
        <w:rPr>
          <w:rStyle w:val="Heading5Char"/>
          <w:rFonts w:hint="eastAsia"/>
          <w:color w:val="000000" w:themeColor="text1"/>
        </w:rPr>
        <w:t>（</w:t>
      </w:r>
      <w:r>
        <w:rPr>
          <w:rStyle w:val="Heading5Char"/>
          <w:rFonts w:hint="eastAsia"/>
          <w:color w:val="000000" w:themeColor="text1"/>
        </w:rPr>
        <w:t>ECDI2030</w:t>
      </w:r>
      <w:r>
        <w:rPr>
          <w:rStyle w:val="Heading5Char"/>
          <w:rFonts w:hint="eastAsia"/>
          <w:color w:val="000000" w:themeColor="text1"/>
        </w:rPr>
        <w:t>）</w:t>
      </w:r>
    </w:p>
    <w:p w14:paraId="6F6ADF29" w14:textId="77777777" w:rsidR="0044159D" w:rsidRPr="00C47876" w:rsidRDefault="0044159D" w:rsidP="0044159D">
      <w:pPr>
        <w:spacing w:before="100" w:after="200" w:line="240" w:lineRule="auto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hint="eastAsia"/>
          <w:sz w:val="20"/>
          <w:szCs w:val="20"/>
        </w:rPr>
        <w:t>儿童早期发展是一个多维度的过程，涉及到运动、认知、语言、社会情感和调节技能和能力在生命最初几年的有序发展。</w:t>
      </w:r>
      <w:r>
        <w:rPr>
          <w:rStyle w:val="FootnoteReference"/>
          <w:rFonts w:ascii="Calibri" w:eastAsia="Times New Roman" w:hAnsi="Calibri" w:cs="Calibri"/>
          <w:sz w:val="20"/>
          <w:szCs w:val="20"/>
          <w:lang w:val="en-GB"/>
        </w:rPr>
        <w:footnoteReference w:id="1"/>
      </w:r>
      <w:r>
        <w:rPr>
          <w:rFonts w:ascii="Calibri" w:eastAsia="SimSun" w:hAnsi="Calibri" w:hint="eastAsia"/>
          <w:sz w:val="20"/>
          <w:szCs w:val="20"/>
        </w:rPr>
        <w:t>虽然这些方面属于儿童早期发展的不同领域，但它们是相互关联的。以整体方式培养和支持所有这些方面，是确保儿童有最佳机会充分发挥其潜力的关键。身体成长、读写和算数技能、社会情感发展和学习准备程度等，为终身的健康、学习和福祉设定了轨迹。</w:t>
      </w:r>
      <w:r>
        <w:rPr>
          <w:rStyle w:val="FootnoteReference"/>
          <w:rFonts w:ascii="Calibri" w:eastAsia="Times New Roman" w:hAnsi="Calibri" w:cs="Calibri"/>
          <w:sz w:val="20"/>
          <w:szCs w:val="20"/>
          <w:lang w:val="en-GB"/>
        </w:rPr>
        <w:footnoteReference w:id="2"/>
      </w:r>
    </w:p>
    <w:p w14:paraId="72001523" w14:textId="77777777" w:rsidR="0044159D" w:rsidRDefault="0044159D" w:rsidP="0044159D">
      <w:pPr>
        <w:spacing w:before="100" w:after="200" w:line="240" w:lineRule="auto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hint="eastAsia"/>
          <w:sz w:val="20"/>
          <w:szCs w:val="20"/>
        </w:rPr>
        <w:t>儿童早期发展指数</w:t>
      </w:r>
      <w:r>
        <w:rPr>
          <w:rFonts w:ascii="Calibri" w:eastAsia="SimSun" w:hAnsi="Calibri" w:hint="eastAsia"/>
          <w:sz w:val="20"/>
          <w:szCs w:val="20"/>
        </w:rPr>
        <w:t>2030</w:t>
      </w:r>
      <w:r>
        <w:rPr>
          <w:rFonts w:ascii="Calibri" w:eastAsia="SimSun" w:hAnsi="Calibri" w:hint="eastAsia"/>
          <w:sz w:val="20"/>
          <w:szCs w:val="20"/>
        </w:rPr>
        <w:t>（</w:t>
      </w:r>
      <w:r>
        <w:rPr>
          <w:rFonts w:ascii="Calibri" w:eastAsia="SimSun" w:hAnsi="Calibri" w:hint="eastAsia"/>
          <w:sz w:val="20"/>
          <w:szCs w:val="20"/>
        </w:rPr>
        <w:t>ECDI2030</w:t>
      </w:r>
      <w:r>
        <w:rPr>
          <w:rFonts w:ascii="Calibri" w:eastAsia="SimSun" w:hAnsi="Calibri" w:hint="eastAsia"/>
          <w:sz w:val="20"/>
          <w:szCs w:val="20"/>
        </w:rPr>
        <w:t>）模块反映了</w:t>
      </w:r>
      <w:r>
        <w:rPr>
          <w:rFonts w:ascii="Calibri" w:eastAsia="SimSun" w:hAnsi="Calibri" w:hint="eastAsia"/>
          <w:sz w:val="20"/>
          <w:szCs w:val="20"/>
        </w:rPr>
        <w:t>24-59</w:t>
      </w:r>
      <w:r>
        <w:rPr>
          <w:rFonts w:ascii="Calibri" w:eastAsia="SimSun" w:hAnsi="Calibri" w:hint="eastAsia"/>
          <w:sz w:val="20"/>
          <w:szCs w:val="20"/>
        </w:rPr>
        <w:t>月龄的儿童在达到关键发展里程碑方面的情况。</w:t>
      </w:r>
      <w:r>
        <w:rPr>
          <w:rFonts w:ascii="Calibri" w:eastAsia="SimSun" w:hAnsi="Calibri" w:hint="eastAsia"/>
          <w:sz w:val="20"/>
          <w:szCs w:val="20"/>
        </w:rPr>
        <w:t>ECDI2030</w:t>
      </w:r>
      <w:r>
        <w:rPr>
          <w:rFonts w:ascii="Calibri" w:eastAsia="SimSun" w:hAnsi="Calibri" w:hint="eastAsia"/>
          <w:sz w:val="20"/>
          <w:szCs w:val="20"/>
        </w:rPr>
        <w:t>产生的数据可用于监测和报告可持续发展目标指标</w:t>
      </w:r>
      <w:r>
        <w:rPr>
          <w:rFonts w:ascii="Calibri" w:eastAsia="SimSun" w:hAnsi="Calibri" w:hint="eastAsia"/>
          <w:sz w:val="20"/>
          <w:szCs w:val="20"/>
        </w:rPr>
        <w:t>4.2.1</w:t>
      </w:r>
      <w:r>
        <w:rPr>
          <w:rFonts w:ascii="Calibri" w:eastAsia="SimSun" w:hAnsi="Calibri" w:hint="eastAsia"/>
          <w:sz w:val="20"/>
          <w:szCs w:val="20"/>
        </w:rPr>
        <w:t>，并为政府改善儿童发展成果的努力提供信息。</w:t>
      </w:r>
      <w:r>
        <w:rPr>
          <w:rFonts w:ascii="Calibri" w:eastAsia="SimSun" w:hAnsi="Calibri" w:hint="eastAsia"/>
          <w:sz w:val="20"/>
          <w:szCs w:val="20"/>
        </w:rPr>
        <w:t xml:space="preserve"> </w:t>
      </w:r>
    </w:p>
    <w:p w14:paraId="0837D9A0" w14:textId="258D622B" w:rsidR="0044159D" w:rsidRPr="00C47876" w:rsidRDefault="0044159D" w:rsidP="0044159D">
      <w:pPr>
        <w:spacing w:before="100" w:after="200" w:line="240" w:lineRule="auto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hint="eastAsia"/>
          <w:sz w:val="20"/>
          <w:szCs w:val="20"/>
        </w:rPr>
        <w:t>这一</w:t>
      </w:r>
      <w:r w:rsidR="000912DE">
        <w:rPr>
          <w:rFonts w:ascii="Calibri" w:eastAsia="SimSun" w:hAnsi="Calibri" w:hint="eastAsia"/>
          <w:sz w:val="20"/>
          <w:szCs w:val="20"/>
        </w:rPr>
        <w:t>测量</w:t>
      </w:r>
      <w:r>
        <w:rPr>
          <w:rFonts w:ascii="Calibri" w:eastAsia="SimSun" w:hAnsi="Calibri" w:hint="eastAsia"/>
          <w:sz w:val="20"/>
          <w:szCs w:val="20"/>
        </w:rPr>
        <w:t>工具包括</w:t>
      </w:r>
      <w:r>
        <w:rPr>
          <w:rFonts w:ascii="Calibri" w:eastAsia="SimSun" w:hAnsi="Calibri" w:hint="eastAsia"/>
          <w:sz w:val="20"/>
          <w:szCs w:val="20"/>
        </w:rPr>
        <w:t>20</w:t>
      </w:r>
      <w:r>
        <w:rPr>
          <w:rFonts w:ascii="Calibri" w:eastAsia="SimSun" w:hAnsi="Calibri" w:hint="eastAsia"/>
          <w:sz w:val="20"/>
          <w:szCs w:val="20"/>
        </w:rPr>
        <w:t>个问题，涉及儿童在某些日常情况下的行为方式，以及他们所获得的技能和知识，反映了儿童在成长过程中掌握技能方面日益增加的难度。这</w:t>
      </w:r>
      <w:r>
        <w:rPr>
          <w:rFonts w:ascii="Calibri" w:eastAsia="SimSun" w:hAnsi="Calibri" w:hint="eastAsia"/>
          <w:sz w:val="20"/>
          <w:szCs w:val="20"/>
        </w:rPr>
        <w:t>20</w:t>
      </w:r>
      <w:r>
        <w:rPr>
          <w:rFonts w:ascii="Calibri" w:eastAsia="SimSun" w:hAnsi="Calibri" w:hint="eastAsia"/>
          <w:sz w:val="20"/>
          <w:szCs w:val="20"/>
        </w:rPr>
        <w:t>道题是按照健康、学习和社会心理健康这三大领域编排的。如果一名儿童已经达到其年龄组期望的最少发展里程碑数量，则被认为发育正常。三大领域中的每一个领域都由一组核心子领域组成：</w:t>
      </w:r>
    </w:p>
    <w:p w14:paraId="61A496FB" w14:textId="4A6BC26F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sz w:val="20"/>
          <w:szCs w:val="20"/>
        </w:rPr>
        <w:t>健康子领域：粗大</w:t>
      </w:r>
      <w:r w:rsidR="00BD6B91">
        <w:rPr>
          <w:rFonts w:ascii="Calibri" w:eastAsia="SimSun" w:hAnsi="Calibri" w:hint="eastAsia"/>
          <w:sz w:val="20"/>
          <w:szCs w:val="20"/>
        </w:rPr>
        <w:t>动作</w:t>
      </w:r>
      <w:r>
        <w:rPr>
          <w:rFonts w:ascii="Calibri" w:eastAsia="SimSun" w:hAnsi="Calibri" w:hint="eastAsia"/>
          <w:sz w:val="20"/>
          <w:szCs w:val="20"/>
        </w:rPr>
        <w:t>发展、精细</w:t>
      </w:r>
      <w:r w:rsidR="00BD6B91">
        <w:rPr>
          <w:rFonts w:ascii="Calibri" w:eastAsia="SimSun" w:hAnsi="Calibri" w:hint="eastAsia"/>
          <w:sz w:val="20"/>
          <w:szCs w:val="20"/>
        </w:rPr>
        <w:t>动作</w:t>
      </w:r>
      <w:r>
        <w:rPr>
          <w:rFonts w:ascii="Calibri" w:eastAsia="SimSun" w:hAnsi="Calibri" w:hint="eastAsia"/>
          <w:sz w:val="20"/>
          <w:szCs w:val="20"/>
        </w:rPr>
        <w:t>发展和自我照料。</w:t>
      </w:r>
    </w:p>
    <w:p w14:paraId="0240FC72" w14:textId="77777777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sz w:val="20"/>
          <w:szCs w:val="20"/>
        </w:rPr>
        <w:t>学习子领域：表达性语言、读写、算数、前书写和执行功能。</w:t>
      </w:r>
    </w:p>
    <w:p w14:paraId="12214C0D" w14:textId="299436BD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sz w:val="20"/>
          <w:szCs w:val="20"/>
        </w:rPr>
        <w:t>社会心理健康子领域：</w:t>
      </w:r>
      <w:r w:rsidR="00BD6B91">
        <w:rPr>
          <w:rFonts w:ascii="Calibri" w:eastAsia="SimSun" w:hAnsi="Calibri" w:hint="eastAsia"/>
          <w:sz w:val="20"/>
          <w:szCs w:val="20"/>
        </w:rPr>
        <w:t>情感能力</w:t>
      </w:r>
      <w:r>
        <w:rPr>
          <w:rFonts w:ascii="Calibri" w:eastAsia="SimSun" w:hAnsi="Calibri" w:hint="eastAsia"/>
          <w:sz w:val="20"/>
          <w:szCs w:val="20"/>
        </w:rPr>
        <w:t>、社会技能、内化行为和外化行为。</w:t>
      </w:r>
    </w:p>
    <w:p w14:paraId="226F4FC4" w14:textId="77777777" w:rsidR="0044159D" w:rsidRPr="00C47876" w:rsidRDefault="0044159D" w:rsidP="0044159D">
      <w:pPr>
        <w:spacing w:after="0" w:line="240" w:lineRule="auto"/>
        <w:ind w:left="540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hint="eastAsia"/>
          <w:sz w:val="20"/>
          <w:szCs w:val="20"/>
        </w:rPr>
        <w:t> </w:t>
      </w:r>
    </w:p>
    <w:p w14:paraId="2353CFCC" w14:textId="77777777" w:rsidR="0044159D" w:rsidRDefault="0044159D" w:rsidP="0044159D">
      <w:pPr>
        <w:spacing w:before="100" w:after="200" w:line="240" w:lineRule="auto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hint="eastAsia"/>
          <w:sz w:val="20"/>
          <w:szCs w:val="20"/>
        </w:rPr>
        <w:t>ECDI2030</w:t>
      </w:r>
      <w:r>
        <w:rPr>
          <w:rFonts w:ascii="Calibri" w:eastAsia="SimSun" w:hAnsi="Calibri" w:hint="eastAsia"/>
          <w:sz w:val="20"/>
          <w:szCs w:val="20"/>
        </w:rPr>
        <w:t>模块不是为单独报告各个领域而设计的。相反，它的目的是产生一个总分，以反映可持续发展目标</w:t>
      </w:r>
      <w:r>
        <w:rPr>
          <w:rFonts w:ascii="Calibri" w:eastAsia="SimSun" w:hAnsi="Calibri" w:hint="eastAsia"/>
          <w:sz w:val="20"/>
          <w:szCs w:val="20"/>
        </w:rPr>
        <w:t>4.2.1</w:t>
      </w:r>
      <w:r>
        <w:rPr>
          <w:rFonts w:ascii="Calibri" w:eastAsia="SimSun" w:hAnsi="Calibri" w:hint="eastAsia"/>
          <w:sz w:val="20"/>
          <w:szCs w:val="20"/>
        </w:rPr>
        <w:t>中提到的三个领域所包含的相互联系的发展概念。</w:t>
      </w:r>
      <w:r>
        <w:rPr>
          <w:rStyle w:val="FootnoteReference"/>
          <w:rFonts w:ascii="Calibri" w:eastAsia="Times New Roman" w:hAnsi="Calibri" w:cs="Calibri"/>
          <w:sz w:val="20"/>
          <w:szCs w:val="20"/>
        </w:rPr>
        <w:footnoteReference w:id="3"/>
      </w:r>
      <w:r>
        <w:rPr>
          <w:rFonts w:ascii="Calibri" w:eastAsia="SimSun" w:hAnsi="Calibri" w:hint="eastAsia"/>
          <w:sz w:val="20"/>
          <w:szCs w:val="20"/>
        </w:rPr>
        <w:t xml:space="preserve"> </w:t>
      </w:r>
    </w:p>
    <w:p w14:paraId="6157846C" w14:textId="20A819AC" w:rsidR="0044159D" w:rsidRPr="00C47876" w:rsidRDefault="0044159D" w:rsidP="0044159D">
      <w:pPr>
        <w:spacing w:before="100" w:after="200" w:line="240" w:lineRule="auto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hint="eastAsia"/>
          <w:sz w:val="20"/>
          <w:szCs w:val="20"/>
        </w:rPr>
        <w:t>从</w:t>
      </w:r>
      <w:r>
        <w:rPr>
          <w:rFonts w:ascii="Calibri" w:eastAsia="SimSun" w:hAnsi="Calibri" w:hint="eastAsia"/>
          <w:sz w:val="20"/>
          <w:szCs w:val="20"/>
        </w:rPr>
        <w:t>ECDI2030</w:t>
      </w:r>
      <w:r>
        <w:rPr>
          <w:rFonts w:ascii="Calibri" w:eastAsia="SimSun" w:hAnsi="Calibri" w:hint="eastAsia"/>
          <w:sz w:val="20"/>
          <w:szCs w:val="20"/>
        </w:rPr>
        <w:t>模块中得出的指标是达到其年龄组期望的最少发展里程碑数量的</w:t>
      </w:r>
      <w:r>
        <w:rPr>
          <w:rFonts w:ascii="Calibri" w:eastAsia="SimSun" w:hAnsi="Calibri" w:hint="eastAsia"/>
          <w:sz w:val="20"/>
          <w:szCs w:val="20"/>
        </w:rPr>
        <w:t>24-59</w:t>
      </w:r>
      <w:r>
        <w:rPr>
          <w:rFonts w:ascii="Calibri" w:eastAsia="SimSun" w:hAnsi="Calibri" w:hint="eastAsia"/>
          <w:sz w:val="20"/>
          <w:szCs w:val="20"/>
        </w:rPr>
        <w:t>月龄儿童的比例</w:t>
      </w:r>
      <w:r>
        <w:rPr>
          <w:rStyle w:val="FootnoteReference"/>
          <w:rFonts w:ascii="Calibri" w:eastAsia="Times New Roman" w:hAnsi="Calibri" w:cs="Calibri"/>
          <w:sz w:val="20"/>
          <w:szCs w:val="20"/>
        </w:rPr>
        <w:footnoteReference w:id="4"/>
      </w:r>
      <w:r>
        <w:rPr>
          <w:rFonts w:ascii="Calibri" w:eastAsia="SimSun" w:hAnsi="Calibri" w:hint="eastAsia"/>
          <w:sz w:val="20"/>
          <w:szCs w:val="20"/>
        </w:rPr>
        <w:t>。</w:t>
      </w:r>
      <w:r>
        <w:rPr>
          <w:rFonts w:ascii="Calibri" w:eastAsia="SimSun" w:hAnsi="Calibri" w:hint="eastAsia"/>
          <w:sz w:val="20"/>
          <w:szCs w:val="20"/>
        </w:rPr>
        <w:t xml:space="preserve"> </w:t>
      </w:r>
    </w:p>
    <w:p w14:paraId="75800FBA" w14:textId="593405F0" w:rsidR="0044159D" w:rsidRPr="00C47876" w:rsidRDefault="0044159D" w:rsidP="0044159D">
      <w:pPr>
        <w:spacing w:before="100" w:after="200" w:line="240" w:lineRule="auto"/>
        <w:jc w:val="center"/>
        <w:rPr>
          <w:rFonts w:ascii="Calibri" w:eastAsia="Times New Roman" w:hAnsi="Calibri" w:cs="Calibri"/>
          <w:color w:val="FF0000"/>
          <w:sz w:val="20"/>
          <w:szCs w:val="20"/>
          <w:lang w:val="en-GB"/>
        </w:rPr>
      </w:pPr>
    </w:p>
    <w:p w14:paraId="488C7B34" w14:textId="77777777" w:rsidR="000009A0" w:rsidRDefault="000009A0"/>
    <w:sectPr w:rsidR="0000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40D9" w14:textId="77777777" w:rsidR="00DA0091" w:rsidRDefault="00DA0091" w:rsidP="0044159D">
      <w:pPr>
        <w:spacing w:after="0" w:line="240" w:lineRule="auto"/>
      </w:pPr>
      <w:r>
        <w:separator/>
      </w:r>
    </w:p>
  </w:endnote>
  <w:endnote w:type="continuationSeparator" w:id="0">
    <w:p w14:paraId="2E8EEF81" w14:textId="77777777" w:rsidR="00DA0091" w:rsidRDefault="00DA0091" w:rsidP="0044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C8F1A" w14:textId="77777777" w:rsidR="00DA0091" w:rsidRDefault="00DA0091" w:rsidP="0044159D">
      <w:pPr>
        <w:spacing w:after="0" w:line="240" w:lineRule="auto"/>
      </w:pPr>
      <w:r>
        <w:separator/>
      </w:r>
    </w:p>
  </w:footnote>
  <w:footnote w:type="continuationSeparator" w:id="0">
    <w:p w14:paraId="296EAFC5" w14:textId="77777777" w:rsidR="00DA0091" w:rsidRDefault="00DA0091" w:rsidP="0044159D">
      <w:pPr>
        <w:spacing w:after="0" w:line="240" w:lineRule="auto"/>
      </w:pPr>
      <w:r>
        <w:continuationSeparator/>
      </w:r>
    </w:p>
  </w:footnote>
  <w:footnote w:id="1">
    <w:p w14:paraId="07D346A5" w14:textId="3BD4B25D" w:rsidR="0044159D" w:rsidRPr="000912DE" w:rsidRDefault="0044159D" w:rsidP="0044159D">
      <w:pPr>
        <w:spacing w:after="0" w:line="240" w:lineRule="auto"/>
        <w:jc w:val="both"/>
        <w:rPr>
          <w:rFonts w:ascii="Calibri" w:eastAsia="SimSun" w:hAnsi="Calibri" w:cs="Calibri"/>
          <w:sz w:val="18"/>
          <w:szCs w:val="18"/>
        </w:rPr>
      </w:pPr>
      <w:r w:rsidRPr="000912DE">
        <w:rPr>
          <w:rStyle w:val="FootnoteReference"/>
          <w:sz w:val="18"/>
          <w:szCs w:val="18"/>
        </w:rPr>
        <w:footnoteRef/>
      </w:r>
      <w:r w:rsidRPr="000912DE">
        <w:rPr>
          <w:rFonts w:hint="eastAsia"/>
          <w:sz w:val="18"/>
          <w:szCs w:val="18"/>
        </w:rPr>
        <w:t xml:space="preserve"> </w:t>
      </w:r>
      <w:r w:rsidRPr="000912DE">
        <w:rPr>
          <w:rFonts w:ascii="Calibri" w:eastAsia="SimSun" w:hAnsi="Calibri" w:hint="eastAsia"/>
          <w:sz w:val="18"/>
          <w:szCs w:val="18"/>
        </w:rPr>
        <w:t xml:space="preserve">UNICEF et </w:t>
      </w:r>
      <w:proofErr w:type="spellStart"/>
      <w:proofErr w:type="gramStart"/>
      <w:r w:rsidRPr="000912DE">
        <w:rPr>
          <w:rFonts w:ascii="Calibri" w:eastAsia="SimSun" w:hAnsi="Calibri" w:hint="eastAsia"/>
          <w:sz w:val="18"/>
          <w:szCs w:val="18"/>
        </w:rPr>
        <w:t>al.</w:t>
      </w:r>
      <w:r w:rsidRPr="000912DE">
        <w:rPr>
          <w:rFonts w:ascii="Calibri" w:eastAsia="SimSun" w:hAnsi="Calibri" w:hint="eastAsia"/>
          <w:i/>
          <w:iCs/>
          <w:sz w:val="18"/>
          <w:szCs w:val="18"/>
        </w:rPr>
        <w:t>Advancing</w:t>
      </w:r>
      <w:proofErr w:type="spellEnd"/>
      <w:proofErr w:type="gramEnd"/>
      <w:r w:rsidRPr="000912DE">
        <w:rPr>
          <w:rFonts w:ascii="Calibri" w:eastAsia="SimSun" w:hAnsi="Calibri" w:hint="eastAsia"/>
          <w:i/>
          <w:iCs/>
          <w:sz w:val="18"/>
          <w:szCs w:val="18"/>
        </w:rPr>
        <w:t xml:space="preserve"> Early Childhood Development: From Science to </w:t>
      </w:r>
      <w:proofErr w:type="spellStart"/>
      <w:r w:rsidRPr="000912DE">
        <w:rPr>
          <w:rFonts w:ascii="Calibri" w:eastAsia="SimSun" w:hAnsi="Calibri" w:hint="eastAsia"/>
          <w:i/>
          <w:iCs/>
          <w:sz w:val="18"/>
          <w:szCs w:val="18"/>
        </w:rPr>
        <w:t>Scale.</w:t>
      </w:r>
      <w:r w:rsidRPr="000912DE">
        <w:rPr>
          <w:rFonts w:ascii="Calibri" w:eastAsia="SimSun" w:hAnsi="Calibri" w:hint="eastAsia"/>
          <w:sz w:val="18"/>
          <w:szCs w:val="18"/>
        </w:rPr>
        <w:t>Executive</w:t>
      </w:r>
      <w:proofErr w:type="spellEnd"/>
      <w:r w:rsidRPr="000912DE">
        <w:rPr>
          <w:rFonts w:ascii="Calibri" w:eastAsia="SimSun" w:hAnsi="Calibri" w:hint="eastAsia"/>
          <w:sz w:val="18"/>
          <w:szCs w:val="18"/>
        </w:rPr>
        <w:t xml:space="preserve"> Summary, The Lancet, 2016. </w:t>
      </w:r>
      <w:hyperlink r:id="rId1" w:history="1">
        <w:r w:rsidRPr="000912DE">
          <w:rPr>
            <w:rFonts w:ascii="Calibri" w:eastAsia="SimSun" w:hAnsi="Calibri" w:hint="eastAsia"/>
            <w:color w:val="0000FF"/>
            <w:sz w:val="18"/>
            <w:szCs w:val="18"/>
            <w:u w:val="single"/>
          </w:rPr>
          <w:t>https://www.thelancet.com/pb-assets/Lancet/stories/series/ecd/Lancet_ECD_Executive_Summary.pdf.</w:t>
        </w:r>
      </w:hyperlink>
    </w:p>
  </w:footnote>
  <w:footnote w:id="2">
    <w:p w14:paraId="4F49E755" w14:textId="77777777" w:rsidR="0044159D" w:rsidRPr="000912DE" w:rsidRDefault="0044159D" w:rsidP="0044159D">
      <w:pPr>
        <w:pStyle w:val="FootnoteText"/>
        <w:jc w:val="both"/>
        <w:rPr>
          <w:sz w:val="18"/>
          <w:szCs w:val="18"/>
        </w:rPr>
      </w:pPr>
      <w:r w:rsidRPr="000912DE">
        <w:rPr>
          <w:rStyle w:val="FootnoteReference"/>
          <w:sz w:val="18"/>
          <w:szCs w:val="18"/>
        </w:rPr>
        <w:footnoteRef/>
      </w:r>
      <w:r w:rsidRPr="000912DE">
        <w:rPr>
          <w:rFonts w:hint="eastAsia"/>
          <w:sz w:val="18"/>
          <w:szCs w:val="18"/>
        </w:rPr>
        <w:t xml:space="preserve"> </w:t>
      </w:r>
      <w:r w:rsidRPr="000912DE">
        <w:rPr>
          <w:rFonts w:ascii="Calibri" w:eastAsia="SimSun" w:hAnsi="Calibri" w:hint="eastAsia"/>
          <w:sz w:val="18"/>
          <w:szCs w:val="18"/>
        </w:rPr>
        <w:t xml:space="preserve">Shonkoff, J. and D. </w:t>
      </w:r>
      <w:proofErr w:type="spellStart"/>
      <w:r w:rsidRPr="000912DE">
        <w:rPr>
          <w:rFonts w:ascii="Calibri" w:eastAsia="SimSun" w:hAnsi="Calibri" w:hint="eastAsia"/>
          <w:sz w:val="18"/>
          <w:szCs w:val="18"/>
        </w:rPr>
        <w:t>Phillips.</w:t>
      </w:r>
      <w:r w:rsidRPr="000912DE">
        <w:rPr>
          <w:rFonts w:ascii="Calibri" w:eastAsia="SimSun" w:hAnsi="Calibri" w:hint="eastAsia"/>
          <w:i/>
          <w:iCs/>
          <w:sz w:val="18"/>
          <w:szCs w:val="18"/>
        </w:rPr>
        <w:t>From</w:t>
      </w:r>
      <w:proofErr w:type="spellEnd"/>
      <w:r w:rsidRPr="000912DE">
        <w:rPr>
          <w:rFonts w:ascii="Calibri" w:eastAsia="SimSun" w:hAnsi="Calibri" w:hint="eastAsia"/>
          <w:i/>
          <w:iCs/>
          <w:sz w:val="18"/>
          <w:szCs w:val="18"/>
        </w:rPr>
        <w:t xml:space="preserve"> Neurons to Neighborhoods: The Science of Early Childhood </w:t>
      </w:r>
      <w:proofErr w:type="spellStart"/>
      <w:r w:rsidRPr="000912DE">
        <w:rPr>
          <w:rFonts w:ascii="Calibri" w:eastAsia="SimSun" w:hAnsi="Calibri" w:hint="eastAsia"/>
          <w:i/>
          <w:iCs/>
          <w:sz w:val="18"/>
          <w:szCs w:val="18"/>
        </w:rPr>
        <w:t>Development</w:t>
      </w:r>
      <w:r w:rsidRPr="000912DE">
        <w:rPr>
          <w:rFonts w:ascii="Calibri" w:eastAsia="SimSun" w:hAnsi="Calibri" w:hint="eastAsia"/>
          <w:sz w:val="18"/>
          <w:szCs w:val="18"/>
        </w:rPr>
        <w:t>.Washington</w:t>
      </w:r>
      <w:proofErr w:type="spellEnd"/>
      <w:r w:rsidRPr="000912DE">
        <w:rPr>
          <w:rFonts w:ascii="Calibri" w:eastAsia="SimSun" w:hAnsi="Calibri" w:hint="eastAsia"/>
          <w:sz w:val="18"/>
          <w:szCs w:val="18"/>
        </w:rPr>
        <w:t>, D.C.: National Academy Press, 2000.; United Nations Children</w:t>
      </w:r>
      <w:r w:rsidRPr="000912DE">
        <w:rPr>
          <w:rFonts w:ascii="Calibri" w:eastAsia="SimSun" w:hAnsi="Calibri" w:hint="eastAsia"/>
          <w:sz w:val="18"/>
          <w:szCs w:val="18"/>
        </w:rPr>
        <w:t>’</w:t>
      </w:r>
      <w:r w:rsidRPr="000912DE">
        <w:rPr>
          <w:rFonts w:ascii="Calibri" w:eastAsia="SimSun" w:hAnsi="Calibri" w:hint="eastAsia"/>
          <w:sz w:val="18"/>
          <w:szCs w:val="18"/>
        </w:rPr>
        <w:t xml:space="preserve">s Fund, </w:t>
      </w:r>
      <w:r w:rsidRPr="000912DE">
        <w:rPr>
          <w:rFonts w:ascii="Calibri" w:eastAsia="SimSun" w:hAnsi="Calibri" w:hint="eastAsia"/>
          <w:i/>
          <w:iCs/>
          <w:sz w:val="18"/>
          <w:szCs w:val="18"/>
        </w:rPr>
        <w:t>Early Moments Matter</w:t>
      </w:r>
      <w:r w:rsidRPr="000912DE">
        <w:rPr>
          <w:rFonts w:ascii="Calibri" w:eastAsia="SimSun" w:hAnsi="Calibri" w:hint="eastAsia"/>
          <w:sz w:val="18"/>
          <w:szCs w:val="18"/>
        </w:rPr>
        <w:t>, New York: UNICEF, 2017.</w:t>
      </w:r>
    </w:p>
  </w:footnote>
  <w:footnote w:id="3">
    <w:p w14:paraId="613C74FA" w14:textId="77777777" w:rsidR="0044159D" w:rsidRPr="000912DE" w:rsidRDefault="0044159D" w:rsidP="000912DE">
      <w:pPr>
        <w:pStyle w:val="FootnoteText"/>
        <w:rPr>
          <w:sz w:val="18"/>
          <w:szCs w:val="18"/>
        </w:rPr>
      </w:pPr>
      <w:r w:rsidRPr="000912DE">
        <w:rPr>
          <w:rStyle w:val="FootnoteReference"/>
          <w:sz w:val="18"/>
          <w:szCs w:val="18"/>
        </w:rPr>
        <w:footnoteRef/>
      </w:r>
      <w:r w:rsidRPr="000912DE">
        <w:rPr>
          <w:rFonts w:hint="eastAsia"/>
          <w:sz w:val="18"/>
          <w:szCs w:val="18"/>
        </w:rPr>
        <w:t>有关</w:t>
      </w:r>
      <w:r w:rsidRPr="000912DE">
        <w:rPr>
          <w:rFonts w:hint="eastAsia"/>
          <w:sz w:val="18"/>
          <w:szCs w:val="18"/>
        </w:rPr>
        <w:t>ECDI2030</w:t>
      </w:r>
      <w:r w:rsidRPr="000912DE">
        <w:rPr>
          <w:rFonts w:hint="eastAsia"/>
          <w:sz w:val="18"/>
          <w:szCs w:val="18"/>
        </w:rPr>
        <w:t>模块的开发和相关指标的详情，请参见“</w:t>
      </w:r>
      <w:r w:rsidRPr="000912DE">
        <w:rPr>
          <w:rFonts w:hint="eastAsia"/>
          <w:sz w:val="18"/>
          <w:szCs w:val="18"/>
        </w:rPr>
        <w:t>ECDI2030-</w:t>
      </w:r>
      <w:r w:rsidRPr="000912DE">
        <w:rPr>
          <w:rFonts w:hint="eastAsia"/>
          <w:sz w:val="18"/>
          <w:szCs w:val="18"/>
        </w:rPr>
        <w:t>常见问题”：</w:t>
      </w:r>
      <w:hyperlink r:id="rId2" w:history="1">
        <w:r w:rsidRPr="000912DE">
          <w:rPr>
            <w:rStyle w:val="Hyperlink"/>
            <w:rFonts w:hint="eastAsia"/>
            <w:sz w:val="18"/>
            <w:szCs w:val="18"/>
          </w:rPr>
          <w:t>https://data.unicef.org/resources/early-childhood-development-index-2030-ecdi2030/</w:t>
        </w:r>
      </w:hyperlink>
      <w:r w:rsidRPr="000912DE">
        <w:rPr>
          <w:rFonts w:hint="eastAsia"/>
          <w:sz w:val="18"/>
          <w:szCs w:val="18"/>
        </w:rPr>
        <w:t xml:space="preserve"> </w:t>
      </w:r>
    </w:p>
  </w:footnote>
  <w:footnote w:id="4">
    <w:p w14:paraId="67609780" w14:textId="770A1316" w:rsidR="0044159D" w:rsidRPr="007B38F6" w:rsidRDefault="0044159D" w:rsidP="0044159D">
      <w:pPr>
        <w:pStyle w:val="FootnoteText"/>
        <w:jc w:val="both"/>
        <w:rPr>
          <w:sz w:val="18"/>
          <w:szCs w:val="18"/>
        </w:rPr>
      </w:pPr>
      <w:r w:rsidRPr="000912DE">
        <w:rPr>
          <w:rStyle w:val="FootnoteReference"/>
          <w:sz w:val="18"/>
          <w:szCs w:val="18"/>
        </w:rPr>
        <w:footnoteRef/>
      </w:r>
      <w:r w:rsidRPr="000912DE">
        <w:rPr>
          <w:rFonts w:hint="eastAsia"/>
          <w:sz w:val="18"/>
          <w:szCs w:val="18"/>
        </w:rPr>
        <w:t>ECDI2030</w:t>
      </w:r>
      <w:r w:rsidRPr="000912DE">
        <w:rPr>
          <w:rFonts w:hint="eastAsia"/>
          <w:sz w:val="18"/>
          <w:szCs w:val="18"/>
        </w:rPr>
        <w:t>模块生成的指标与</w:t>
      </w:r>
      <w:r w:rsidRPr="000912DE">
        <w:rPr>
          <w:rFonts w:hint="eastAsia"/>
          <w:sz w:val="18"/>
          <w:szCs w:val="18"/>
        </w:rPr>
        <w:t>2009</w:t>
      </w:r>
      <w:r w:rsidRPr="000912DE">
        <w:rPr>
          <w:rFonts w:hint="eastAsia"/>
          <w:sz w:val="18"/>
          <w:szCs w:val="18"/>
        </w:rPr>
        <w:t>年多指标类集调查中引入的</w:t>
      </w:r>
      <w:r w:rsidRPr="000912DE">
        <w:rPr>
          <w:rFonts w:hint="eastAsia"/>
          <w:sz w:val="18"/>
          <w:szCs w:val="18"/>
        </w:rPr>
        <w:t>ECDI</w:t>
      </w:r>
      <w:r w:rsidRPr="000912DE">
        <w:rPr>
          <w:rFonts w:hint="eastAsia"/>
          <w:sz w:val="18"/>
          <w:szCs w:val="18"/>
        </w:rPr>
        <w:t>模块生成的指标不完全可比。更多信息请参见“</w:t>
      </w:r>
      <w:r w:rsidRPr="000912DE">
        <w:rPr>
          <w:rFonts w:hint="eastAsia"/>
          <w:sz w:val="18"/>
          <w:szCs w:val="18"/>
        </w:rPr>
        <w:t>ECDI2030-</w:t>
      </w:r>
      <w:proofErr w:type="gramStart"/>
      <w:r w:rsidRPr="000912DE">
        <w:rPr>
          <w:rFonts w:hint="eastAsia"/>
          <w:sz w:val="18"/>
          <w:szCs w:val="18"/>
        </w:rPr>
        <w:t>常见问题”。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146A1"/>
    <w:multiLevelType w:val="multilevel"/>
    <w:tmpl w:val="B4C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8793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604DF8"/>
    <w:multiLevelType w:val="multilevel"/>
    <w:tmpl w:val="DCC61880"/>
    <w:lvl w:ilvl="0">
      <w:start w:val="7"/>
      <w:numFmt w:val="decimal"/>
      <w:lvlText w:val="%1"/>
      <w:lvlJc w:val="left"/>
      <w:pPr>
        <w:ind w:left="420" w:hanging="4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9D"/>
    <w:rsid w:val="000009A0"/>
    <w:rsid w:val="000912DE"/>
    <w:rsid w:val="0044159D"/>
    <w:rsid w:val="00A230DD"/>
    <w:rsid w:val="00BA2EE0"/>
    <w:rsid w:val="00BD6B91"/>
    <w:rsid w:val="00D90DD5"/>
    <w:rsid w:val="00D927A5"/>
    <w:rsid w:val="00DA0091"/>
    <w:rsid w:val="00F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1031"/>
  <w15:chartTrackingRefBased/>
  <w15:docId w15:val="{7CCAFBEB-9A79-4CAA-9B8B-D51EAB8E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9D"/>
  </w:style>
  <w:style w:type="paragraph" w:styleId="Heading1">
    <w:name w:val="heading 1"/>
    <w:basedOn w:val="Normal"/>
    <w:next w:val="Normal"/>
    <w:link w:val="Heading1Char"/>
    <w:uiPriority w:val="9"/>
    <w:qFormat/>
    <w:rsid w:val="0044159D"/>
    <w:pPr>
      <w:numPr>
        <w:numId w:val="2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59D"/>
    <w:pPr>
      <w:numPr>
        <w:ilvl w:val="1"/>
        <w:numId w:val="2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59D"/>
    <w:pPr>
      <w:numPr>
        <w:ilvl w:val="2"/>
        <w:numId w:val="2"/>
      </w:numPr>
      <w:pBdr>
        <w:top w:val="single" w:sz="6" w:space="2" w:color="4472C4" w:themeColor="accent1"/>
      </w:pBdr>
      <w:spacing w:before="300" w:after="0" w:line="276" w:lineRule="auto"/>
      <w:outlineLvl w:val="2"/>
    </w:pPr>
    <w:rPr>
      <w:caps/>
      <w:color w:val="1F3763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59D"/>
    <w:pPr>
      <w:numPr>
        <w:ilvl w:val="3"/>
        <w:numId w:val="2"/>
      </w:numPr>
      <w:pBdr>
        <w:top w:val="dotted" w:sz="6" w:space="2" w:color="4472C4" w:themeColor="accent1"/>
      </w:pBdr>
      <w:spacing w:before="200" w:after="0" w:line="276" w:lineRule="auto"/>
      <w:outlineLvl w:val="3"/>
    </w:pPr>
    <w:rPr>
      <w:caps/>
      <w:color w:val="2F5496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59D"/>
    <w:pPr>
      <w:numPr>
        <w:ilvl w:val="4"/>
        <w:numId w:val="2"/>
      </w:numPr>
      <w:pBdr>
        <w:bottom w:val="single" w:sz="6" w:space="1" w:color="4472C4" w:themeColor="accent1"/>
      </w:pBdr>
      <w:spacing w:before="200" w:after="0" w:line="276" w:lineRule="auto"/>
      <w:outlineLvl w:val="4"/>
    </w:pPr>
    <w:rPr>
      <w:caps/>
      <w:color w:val="2F5496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59D"/>
    <w:pPr>
      <w:numPr>
        <w:ilvl w:val="5"/>
        <w:numId w:val="2"/>
      </w:numPr>
      <w:pBdr>
        <w:bottom w:val="dotted" w:sz="6" w:space="1" w:color="4472C4" w:themeColor="accent1"/>
      </w:pBdr>
      <w:spacing w:before="200" w:after="0" w:line="276" w:lineRule="auto"/>
      <w:outlineLvl w:val="5"/>
    </w:pPr>
    <w:rPr>
      <w:caps/>
      <w:color w:val="2F5496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59D"/>
    <w:pPr>
      <w:numPr>
        <w:ilvl w:val="6"/>
        <w:numId w:val="2"/>
      </w:numPr>
      <w:spacing w:before="200" w:after="0" w:line="276" w:lineRule="auto"/>
      <w:outlineLvl w:val="6"/>
    </w:pPr>
    <w:rPr>
      <w:caps/>
      <w:color w:val="2F5496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59D"/>
    <w:pPr>
      <w:numPr>
        <w:ilvl w:val="7"/>
        <w:numId w:val="2"/>
      </w:num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59D"/>
    <w:pPr>
      <w:numPr>
        <w:ilvl w:val="8"/>
        <w:numId w:val="2"/>
      </w:num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59D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4159D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59D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59D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59D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5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ata.unicef.org/resources/early-childhood-development-index-2030-ecdi2030/" TargetMode="External"/><Relationship Id="rId1" Type="http://schemas.openxmlformats.org/officeDocument/2006/relationships/hyperlink" Target="https://www.thelancet.com/pb-assets/Lancet/stories/series/ecd/Lancet_ECD_Executive_Summary.pdf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Petrowski</dc:creator>
  <cp:keywords/>
  <dc:description/>
  <cp:lastModifiedBy>Nicole Petrowski</cp:lastModifiedBy>
  <cp:revision>2</cp:revision>
  <dcterms:created xsi:type="dcterms:W3CDTF">2022-02-04T18:15:00Z</dcterms:created>
  <dcterms:modified xsi:type="dcterms:W3CDTF">2022-02-04T18:15:00Z</dcterms:modified>
</cp:coreProperties>
</file>